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B3EED" w14:textId="0EF65B49" w:rsidR="006736B7" w:rsidRPr="00517843" w:rsidRDefault="00AF55DE" w:rsidP="001D0FE5">
      <w:pPr>
        <w:pStyle w:val="Heading2"/>
        <w:jc w:val="left"/>
        <w:rPr>
          <w:color w:val="auto"/>
        </w:rPr>
      </w:pPr>
      <w:r w:rsidRPr="62385CB5">
        <w:rPr>
          <w:color w:val="auto"/>
        </w:rPr>
        <w:t>Lancashire will be the place to live</w:t>
      </w:r>
    </w:p>
    <w:p w14:paraId="70F9E402" w14:textId="77777777" w:rsidR="001D0FE5" w:rsidRPr="00517843" w:rsidRDefault="00AF55DE" w:rsidP="001D0FE5">
      <w:pPr>
        <w:pStyle w:val="NoSpacing"/>
        <w:jc w:val="right"/>
        <w:rPr>
          <w:rFonts w:eastAsiaTheme="minorHAnsi"/>
          <w:i/>
        </w:rPr>
      </w:pPr>
      <w:r w:rsidRPr="00517843">
        <w:rPr>
          <w:rFonts w:eastAsiaTheme="minorHAnsi"/>
          <w:i/>
        </w:rPr>
        <w:t xml:space="preserve">Key for performance: </w:t>
      </w:r>
    </w:p>
    <w:tbl>
      <w:tblPr>
        <w:tblW w:w="5967" w:type="dxa"/>
        <w:jc w:val="right"/>
        <w:tblLook w:val="04A0" w:firstRow="1" w:lastRow="0" w:firstColumn="1" w:lastColumn="0" w:noHBand="0" w:noVBand="1"/>
      </w:tblPr>
      <w:tblGrid>
        <w:gridCol w:w="1447"/>
        <w:gridCol w:w="2440"/>
        <w:gridCol w:w="2080"/>
      </w:tblGrid>
      <w:tr w:rsidR="00BB349C" w14:paraId="51F436E5" w14:textId="77777777" w:rsidTr="00435DDD">
        <w:trPr>
          <w:trHeight w:val="172"/>
          <w:jc w:val="right"/>
        </w:trPr>
        <w:tc>
          <w:tcPr>
            <w:tcW w:w="1447"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3DAD1FBB" w14:textId="77777777" w:rsidR="001D0FE5" w:rsidRPr="00517843" w:rsidRDefault="00AF55DE" w:rsidP="00AB4748">
            <w:pPr>
              <w:rPr>
                <w:rFonts w:cs="Arial"/>
                <w:i/>
                <w:iCs/>
                <w:color w:val="auto"/>
                <w:sz w:val="18"/>
                <w:szCs w:val="18"/>
              </w:rPr>
            </w:pPr>
            <w:r w:rsidRPr="00517843">
              <w:rPr>
                <w:rFonts w:cs="Arial"/>
                <w:i/>
                <w:iCs/>
                <w:color w:val="auto"/>
                <w:sz w:val="18"/>
                <w:szCs w:val="18"/>
              </w:rPr>
              <w:t>On track/good</w:t>
            </w:r>
          </w:p>
        </w:tc>
        <w:tc>
          <w:tcPr>
            <w:tcW w:w="2440" w:type="dxa"/>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14:paraId="35A71E47" w14:textId="77777777" w:rsidR="001D0FE5" w:rsidRPr="00517843" w:rsidRDefault="00AF55DE" w:rsidP="00AB4748">
            <w:pPr>
              <w:rPr>
                <w:rFonts w:cs="Arial"/>
                <w:i/>
                <w:iCs/>
                <w:color w:val="auto"/>
                <w:sz w:val="18"/>
                <w:szCs w:val="18"/>
              </w:rPr>
            </w:pPr>
            <w:r w:rsidRPr="00517843">
              <w:rPr>
                <w:rFonts w:cs="Arial"/>
                <w:i/>
                <w:iCs/>
                <w:color w:val="auto"/>
                <w:sz w:val="18"/>
                <w:szCs w:val="18"/>
              </w:rPr>
              <w:t>Slightly below desired level</w:t>
            </w:r>
          </w:p>
        </w:tc>
        <w:tc>
          <w:tcPr>
            <w:tcW w:w="2080" w:type="dxa"/>
            <w:tcBorders>
              <w:top w:val="nil"/>
              <w:left w:val="nil"/>
              <w:bottom w:val="single" w:sz="8" w:space="0" w:color="auto"/>
              <w:right w:val="single" w:sz="8" w:space="0" w:color="auto"/>
            </w:tcBorders>
            <w:shd w:val="clear" w:color="000000" w:fill="FF0000"/>
            <w:noWrap/>
            <w:vAlign w:val="center"/>
            <w:hideMark/>
          </w:tcPr>
          <w:p w14:paraId="67415F5C" w14:textId="77777777" w:rsidR="001D0FE5" w:rsidRPr="00517843" w:rsidRDefault="00AF55DE" w:rsidP="00AB4748">
            <w:pPr>
              <w:rPr>
                <w:rFonts w:cs="Arial"/>
                <w:i/>
                <w:color w:val="auto"/>
                <w:sz w:val="18"/>
                <w:szCs w:val="18"/>
              </w:rPr>
            </w:pPr>
            <w:r w:rsidRPr="00517843">
              <w:rPr>
                <w:rFonts w:cs="Arial"/>
                <w:i/>
                <w:color w:val="FFFFFF" w:themeColor="background1"/>
                <w:sz w:val="18"/>
                <w:szCs w:val="18"/>
              </w:rPr>
              <w:t>Requires improvement</w:t>
            </w:r>
          </w:p>
        </w:tc>
      </w:tr>
    </w:tbl>
    <w:p w14:paraId="09C73438" w14:textId="26E9AD56" w:rsidR="0030579F" w:rsidRDefault="0030579F" w:rsidP="62385CB5">
      <w:pPr>
        <w:pStyle w:val="NoSpacing"/>
        <w:rPr>
          <w:color w:val="0070C0"/>
        </w:rPr>
      </w:pPr>
    </w:p>
    <w:tbl>
      <w:tblPr>
        <w:tblW w:w="13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5"/>
        <w:gridCol w:w="1320"/>
        <w:gridCol w:w="1515"/>
        <w:gridCol w:w="810"/>
        <w:gridCol w:w="1440"/>
        <w:gridCol w:w="1260"/>
        <w:gridCol w:w="1170"/>
        <w:gridCol w:w="1710"/>
        <w:gridCol w:w="1575"/>
      </w:tblGrid>
      <w:tr w:rsidR="00BB349C" w14:paraId="29FF7BC8" w14:textId="77777777" w:rsidTr="78C3123E">
        <w:trPr>
          <w:trHeight w:val="1116"/>
          <w:jc w:val="center"/>
        </w:trPr>
        <w:tc>
          <w:tcPr>
            <w:tcW w:w="2555" w:type="dxa"/>
            <w:tcBorders>
              <w:top w:val="single" w:sz="4" w:space="0" w:color="auto"/>
              <w:left w:val="single" w:sz="4" w:space="0" w:color="auto"/>
              <w:bottom w:val="single" w:sz="4" w:space="0" w:color="auto"/>
              <w:right w:val="single" w:sz="4" w:space="0" w:color="auto"/>
            </w:tcBorders>
            <w:hideMark/>
          </w:tcPr>
          <w:p w14:paraId="43B364A2" w14:textId="73FAF234" w:rsidR="005F2EB2" w:rsidRPr="00517843" w:rsidRDefault="00AF55DE" w:rsidP="005F2EB2">
            <w:pPr>
              <w:pStyle w:val="NoSpacing"/>
              <w:rPr>
                <w:rFonts w:ascii="Arial" w:hAnsi="Arial" w:cs="Arial"/>
                <w:b/>
              </w:rPr>
            </w:pPr>
            <w:r w:rsidRPr="0047796E">
              <w:rPr>
                <w:rFonts w:ascii="Arial" w:hAnsi="Arial" w:cs="Arial"/>
                <w:b/>
                <w:sz w:val="20"/>
                <w:szCs w:val="20"/>
              </w:rPr>
              <w:t>Performance Indicator</w:t>
            </w:r>
          </w:p>
        </w:tc>
        <w:tc>
          <w:tcPr>
            <w:tcW w:w="1320" w:type="dxa"/>
            <w:tcBorders>
              <w:top w:val="single" w:sz="4" w:space="0" w:color="auto"/>
              <w:left w:val="single" w:sz="4" w:space="0" w:color="auto"/>
              <w:bottom w:val="single" w:sz="4" w:space="0" w:color="auto"/>
              <w:right w:val="single" w:sz="4" w:space="0" w:color="auto"/>
            </w:tcBorders>
            <w:hideMark/>
          </w:tcPr>
          <w:p w14:paraId="5428694D" w14:textId="6B7D7F5C" w:rsidR="005F2EB2" w:rsidRPr="00517843" w:rsidRDefault="00AF55DE" w:rsidP="005F2EB2">
            <w:pPr>
              <w:pStyle w:val="NoSpacing"/>
              <w:rPr>
                <w:rFonts w:ascii="Arial" w:hAnsi="Arial" w:cs="Arial"/>
                <w:b/>
              </w:rPr>
            </w:pPr>
            <w:r w:rsidRPr="0047796E">
              <w:rPr>
                <w:rFonts w:ascii="Arial" w:hAnsi="Arial" w:cs="Arial"/>
                <w:b/>
                <w:sz w:val="20"/>
                <w:szCs w:val="20"/>
              </w:rPr>
              <w:t>Frequency</w:t>
            </w:r>
          </w:p>
        </w:tc>
        <w:tc>
          <w:tcPr>
            <w:tcW w:w="1515" w:type="dxa"/>
            <w:tcBorders>
              <w:top w:val="single" w:sz="4" w:space="0" w:color="auto"/>
              <w:left w:val="single" w:sz="4" w:space="0" w:color="auto"/>
              <w:bottom w:val="single" w:sz="4" w:space="0" w:color="auto"/>
              <w:right w:val="single" w:sz="4" w:space="0" w:color="auto"/>
            </w:tcBorders>
          </w:tcPr>
          <w:p w14:paraId="2D5C8FA2" w14:textId="3B0187DF" w:rsidR="005F2EB2" w:rsidRPr="00517843" w:rsidRDefault="00AF55DE" w:rsidP="62385CB5">
            <w:pPr>
              <w:pStyle w:val="NoSpacing"/>
              <w:jc w:val="center"/>
              <w:rPr>
                <w:rFonts w:ascii="Arial" w:hAnsi="Arial" w:cs="Arial"/>
                <w:b/>
                <w:bCs/>
              </w:rPr>
            </w:pPr>
            <w:r w:rsidRPr="62385CB5">
              <w:rPr>
                <w:rFonts w:ascii="Arial" w:hAnsi="Arial" w:cs="Arial"/>
                <w:b/>
                <w:bCs/>
                <w:sz w:val="20"/>
                <w:szCs w:val="20"/>
              </w:rPr>
              <w:t xml:space="preserve">Directorate </w:t>
            </w:r>
          </w:p>
        </w:tc>
        <w:tc>
          <w:tcPr>
            <w:tcW w:w="810" w:type="dxa"/>
            <w:tcBorders>
              <w:top w:val="single" w:sz="4" w:space="0" w:color="auto"/>
              <w:left w:val="single" w:sz="4" w:space="0" w:color="auto"/>
              <w:bottom w:val="single" w:sz="4" w:space="0" w:color="auto"/>
              <w:right w:val="single" w:sz="4" w:space="0" w:color="auto"/>
            </w:tcBorders>
          </w:tcPr>
          <w:p w14:paraId="52FEF977" w14:textId="07EC449F" w:rsidR="005F2EB2" w:rsidRPr="00517843" w:rsidRDefault="00AF55DE" w:rsidP="62385CB5">
            <w:pPr>
              <w:pStyle w:val="NoSpacing"/>
              <w:jc w:val="center"/>
              <w:rPr>
                <w:rFonts w:ascii="Arial" w:hAnsi="Arial" w:cs="Arial"/>
                <w:b/>
                <w:bCs/>
              </w:rPr>
            </w:pPr>
            <w:r w:rsidRPr="62385CB5">
              <w:rPr>
                <w:rFonts w:ascii="Arial" w:hAnsi="Arial" w:cs="Arial"/>
                <w:b/>
                <w:bCs/>
                <w:sz w:val="20"/>
                <w:szCs w:val="20"/>
              </w:rPr>
              <w:t>Good is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183F17" w14:textId="440C5C80" w:rsidR="005F2EB2" w:rsidRPr="00517843" w:rsidRDefault="00AF55DE" w:rsidP="62385CB5">
            <w:pPr>
              <w:pStyle w:val="NoSpacing"/>
              <w:jc w:val="center"/>
              <w:rPr>
                <w:rFonts w:ascii="Arial" w:hAnsi="Arial" w:cs="Arial"/>
                <w:b/>
                <w:bCs/>
              </w:rPr>
            </w:pPr>
            <w:r w:rsidRPr="62385CB5">
              <w:rPr>
                <w:rFonts w:ascii="Arial" w:hAnsi="Arial" w:cs="Arial"/>
                <w:b/>
                <w:bCs/>
                <w:sz w:val="20"/>
                <w:szCs w:val="20"/>
              </w:rPr>
              <w:t>2019/20 Outturn</w:t>
            </w:r>
          </w:p>
        </w:tc>
        <w:tc>
          <w:tcPr>
            <w:tcW w:w="1260" w:type="dxa"/>
            <w:tcBorders>
              <w:top w:val="single" w:sz="4" w:space="0" w:color="auto"/>
              <w:left w:val="single" w:sz="4" w:space="0" w:color="auto"/>
              <w:bottom w:val="single" w:sz="4" w:space="0" w:color="auto"/>
              <w:right w:val="single" w:sz="4" w:space="0" w:color="auto"/>
            </w:tcBorders>
          </w:tcPr>
          <w:p w14:paraId="5D75B29D" w14:textId="6A11BA1F" w:rsidR="005F2EB2" w:rsidRPr="00517843" w:rsidRDefault="00AF55DE" w:rsidP="62385CB5">
            <w:pPr>
              <w:pStyle w:val="NoSpacing"/>
              <w:jc w:val="center"/>
              <w:rPr>
                <w:rFonts w:ascii="Arial" w:hAnsi="Arial" w:cs="Arial"/>
                <w:b/>
                <w:bCs/>
                <w:sz w:val="20"/>
                <w:szCs w:val="20"/>
              </w:rPr>
            </w:pPr>
            <w:r w:rsidRPr="62385CB5">
              <w:rPr>
                <w:rFonts w:ascii="Arial" w:hAnsi="Arial" w:cs="Arial"/>
                <w:b/>
                <w:bCs/>
                <w:sz w:val="20"/>
                <w:szCs w:val="20"/>
              </w:rPr>
              <w:t xml:space="preserve">2020/21 </w:t>
            </w:r>
            <w:r w:rsidR="61517214" w:rsidRPr="62385CB5">
              <w:rPr>
                <w:rFonts w:ascii="Arial" w:hAnsi="Arial" w:cs="Arial"/>
                <w:b/>
                <w:bCs/>
                <w:sz w:val="20"/>
                <w:szCs w:val="20"/>
              </w:rPr>
              <w:t>Outturn</w:t>
            </w:r>
          </w:p>
        </w:tc>
        <w:tc>
          <w:tcPr>
            <w:tcW w:w="1170" w:type="dxa"/>
            <w:tcBorders>
              <w:top w:val="single" w:sz="4" w:space="0" w:color="auto"/>
              <w:left w:val="single" w:sz="4" w:space="0" w:color="auto"/>
              <w:bottom w:val="single" w:sz="4" w:space="0" w:color="auto"/>
              <w:right w:val="single" w:sz="4" w:space="0" w:color="auto"/>
            </w:tcBorders>
          </w:tcPr>
          <w:p w14:paraId="2BC7235C" w14:textId="6684B6AF" w:rsidR="62385CB5" w:rsidRDefault="00AF55DE" w:rsidP="62385CB5">
            <w:pPr>
              <w:pStyle w:val="NoSpacing"/>
              <w:jc w:val="center"/>
              <w:rPr>
                <w:rFonts w:ascii="Arial" w:hAnsi="Arial" w:cs="Arial"/>
                <w:b/>
                <w:bCs/>
              </w:rPr>
            </w:pPr>
            <w:r w:rsidRPr="62385CB5">
              <w:rPr>
                <w:rFonts w:ascii="Arial" w:hAnsi="Arial" w:cs="Arial"/>
                <w:b/>
                <w:bCs/>
                <w:sz w:val="20"/>
                <w:szCs w:val="20"/>
              </w:rPr>
              <w:t xml:space="preserve">2020/21 Quarter 1 </w:t>
            </w:r>
            <w:r w:rsidRPr="62385CB5">
              <w:rPr>
                <w:rFonts w:ascii="Arial" w:hAnsi="Arial" w:cs="Arial"/>
                <w:b/>
                <w:bCs/>
                <w:sz w:val="18"/>
                <w:szCs w:val="18"/>
              </w:rPr>
              <w:t>(April –June)</w:t>
            </w:r>
          </w:p>
        </w:tc>
        <w:tc>
          <w:tcPr>
            <w:tcW w:w="1710" w:type="dxa"/>
            <w:tcBorders>
              <w:top w:val="single" w:sz="4" w:space="0" w:color="auto"/>
              <w:left w:val="single" w:sz="4" w:space="0" w:color="auto"/>
              <w:bottom w:val="single" w:sz="4" w:space="0" w:color="auto"/>
              <w:right w:val="single" w:sz="4" w:space="0" w:color="auto"/>
            </w:tcBorders>
          </w:tcPr>
          <w:p w14:paraId="1A12814E" w14:textId="43F1019C" w:rsidR="6D1A0EB5" w:rsidRDefault="00AF55DE" w:rsidP="62385CB5">
            <w:pPr>
              <w:pStyle w:val="NoSpacing"/>
              <w:jc w:val="center"/>
              <w:rPr>
                <w:rFonts w:ascii="Arial" w:hAnsi="Arial" w:cs="Arial"/>
                <w:b/>
                <w:bCs/>
                <w:sz w:val="20"/>
                <w:szCs w:val="20"/>
              </w:rPr>
            </w:pPr>
            <w:r w:rsidRPr="62385CB5">
              <w:rPr>
                <w:rFonts w:ascii="Arial" w:hAnsi="Arial" w:cs="Arial"/>
                <w:b/>
                <w:bCs/>
                <w:sz w:val="20"/>
                <w:szCs w:val="20"/>
              </w:rPr>
              <w:t>Quarter 1 (April- June)</w:t>
            </w:r>
          </w:p>
          <w:p w14:paraId="1C17A4E1" w14:textId="20073810" w:rsidR="6D1A0EB5" w:rsidRDefault="00AF55DE" w:rsidP="62385CB5">
            <w:pPr>
              <w:pStyle w:val="NoSpacing"/>
              <w:jc w:val="center"/>
              <w:rPr>
                <w:rFonts w:ascii="Arial" w:hAnsi="Arial" w:cs="Arial"/>
                <w:b/>
                <w:bCs/>
                <w:sz w:val="20"/>
                <w:szCs w:val="20"/>
              </w:rPr>
            </w:pPr>
            <w:r w:rsidRPr="62385CB5">
              <w:rPr>
                <w:rFonts w:ascii="Arial" w:hAnsi="Arial" w:cs="Arial"/>
                <w:b/>
                <w:bCs/>
                <w:sz w:val="20"/>
                <w:szCs w:val="20"/>
              </w:rPr>
              <w:t>2021/22</w:t>
            </w:r>
          </w:p>
        </w:tc>
        <w:tc>
          <w:tcPr>
            <w:tcW w:w="1575" w:type="dxa"/>
            <w:tcBorders>
              <w:top w:val="single" w:sz="4" w:space="0" w:color="auto"/>
              <w:left w:val="single" w:sz="4" w:space="0" w:color="auto"/>
              <w:bottom w:val="single" w:sz="4" w:space="0" w:color="auto"/>
              <w:right w:val="single" w:sz="4" w:space="0" w:color="auto"/>
            </w:tcBorders>
          </w:tcPr>
          <w:p w14:paraId="26DA9128" w14:textId="1F33293A" w:rsidR="005F2EB2" w:rsidRPr="00517843" w:rsidRDefault="00AF55DE" w:rsidP="62385CB5">
            <w:pPr>
              <w:pStyle w:val="NoSpacing"/>
              <w:jc w:val="center"/>
              <w:rPr>
                <w:rFonts w:ascii="Arial" w:hAnsi="Arial" w:cs="Arial"/>
                <w:b/>
                <w:bCs/>
              </w:rPr>
            </w:pPr>
            <w:r w:rsidRPr="62385CB5">
              <w:rPr>
                <w:rFonts w:ascii="Arial" w:hAnsi="Arial" w:cs="Arial"/>
                <w:b/>
                <w:bCs/>
                <w:sz w:val="20"/>
                <w:szCs w:val="20"/>
              </w:rPr>
              <w:t>202</w:t>
            </w:r>
            <w:r w:rsidR="4DFFB008" w:rsidRPr="62385CB5">
              <w:rPr>
                <w:rFonts w:ascii="Arial" w:hAnsi="Arial" w:cs="Arial"/>
                <w:b/>
                <w:bCs/>
                <w:sz w:val="20"/>
                <w:szCs w:val="20"/>
              </w:rPr>
              <w:t>1</w:t>
            </w:r>
            <w:r w:rsidRPr="62385CB5">
              <w:rPr>
                <w:rFonts w:ascii="Arial" w:hAnsi="Arial" w:cs="Arial"/>
                <w:b/>
                <w:bCs/>
                <w:sz w:val="20"/>
                <w:szCs w:val="20"/>
              </w:rPr>
              <w:t>/2</w:t>
            </w:r>
            <w:r w:rsidR="25D3EF79" w:rsidRPr="62385CB5">
              <w:rPr>
                <w:rFonts w:ascii="Arial" w:hAnsi="Arial" w:cs="Arial"/>
                <w:b/>
                <w:bCs/>
                <w:sz w:val="20"/>
                <w:szCs w:val="20"/>
              </w:rPr>
              <w:t>2</w:t>
            </w:r>
            <w:r w:rsidRPr="62385CB5">
              <w:rPr>
                <w:rFonts w:ascii="Arial" w:hAnsi="Arial" w:cs="Arial"/>
                <w:b/>
                <w:bCs/>
                <w:sz w:val="20"/>
                <w:szCs w:val="20"/>
              </w:rPr>
              <w:t xml:space="preserve"> Target</w:t>
            </w:r>
          </w:p>
        </w:tc>
      </w:tr>
      <w:tr w:rsidR="00BB349C" w14:paraId="3DDF65D7" w14:textId="77777777" w:rsidTr="78C3123E">
        <w:trPr>
          <w:trHeight w:val="852"/>
          <w:jc w:val="center"/>
        </w:trPr>
        <w:tc>
          <w:tcPr>
            <w:tcW w:w="2555" w:type="dxa"/>
            <w:tcBorders>
              <w:top w:val="single" w:sz="4" w:space="0" w:color="auto"/>
              <w:left w:val="single" w:sz="4" w:space="0" w:color="auto"/>
              <w:bottom w:val="single" w:sz="4" w:space="0" w:color="auto"/>
              <w:right w:val="single" w:sz="4" w:space="0" w:color="auto"/>
            </w:tcBorders>
            <w:hideMark/>
          </w:tcPr>
          <w:p w14:paraId="493C6FBD" w14:textId="77777777" w:rsidR="00975B35" w:rsidRPr="00517843" w:rsidRDefault="00AF55DE" w:rsidP="0030579F">
            <w:pPr>
              <w:pStyle w:val="NoSpacing"/>
              <w:rPr>
                <w:rFonts w:ascii="Arial" w:hAnsi="Arial" w:cs="Arial"/>
              </w:rPr>
            </w:pPr>
            <w:r>
              <w:rPr>
                <w:rFonts w:ascii="Arial" w:hAnsi="Arial" w:cs="Arial"/>
              </w:rPr>
              <w:t>Safety carriageway d</w:t>
            </w:r>
            <w:r w:rsidRPr="00517843">
              <w:rPr>
                <w:rFonts w:ascii="Arial" w:hAnsi="Arial" w:cs="Arial"/>
              </w:rPr>
              <w:t>efects repaired within 4 hours (emergency)</w:t>
            </w:r>
          </w:p>
        </w:tc>
        <w:tc>
          <w:tcPr>
            <w:tcW w:w="1320" w:type="dxa"/>
            <w:tcBorders>
              <w:top w:val="single" w:sz="4" w:space="0" w:color="auto"/>
              <w:left w:val="single" w:sz="4" w:space="0" w:color="auto"/>
              <w:bottom w:val="single" w:sz="4" w:space="0" w:color="auto"/>
              <w:right w:val="single" w:sz="4" w:space="0" w:color="auto"/>
            </w:tcBorders>
            <w:hideMark/>
          </w:tcPr>
          <w:p w14:paraId="2E977576" w14:textId="77777777" w:rsidR="00975B35" w:rsidRPr="00517843" w:rsidRDefault="00AF55DE" w:rsidP="0030579F">
            <w:pPr>
              <w:pStyle w:val="NoSpacing"/>
              <w:rPr>
                <w:rFonts w:ascii="Arial" w:hAnsi="Arial" w:cs="Arial"/>
              </w:rPr>
            </w:pPr>
            <w:r w:rsidRPr="00517843">
              <w:rPr>
                <w:rFonts w:ascii="Arial" w:hAnsi="Arial" w:cs="Arial"/>
              </w:rPr>
              <w:t>Quarterly</w:t>
            </w:r>
          </w:p>
        </w:tc>
        <w:tc>
          <w:tcPr>
            <w:tcW w:w="1515" w:type="dxa"/>
            <w:tcBorders>
              <w:top w:val="single" w:sz="4" w:space="0" w:color="auto"/>
              <w:left w:val="single" w:sz="4" w:space="0" w:color="auto"/>
              <w:bottom w:val="single" w:sz="4" w:space="0" w:color="auto"/>
              <w:right w:val="single" w:sz="4" w:space="0" w:color="auto"/>
            </w:tcBorders>
          </w:tcPr>
          <w:p w14:paraId="0381F481" w14:textId="77777777" w:rsidR="00975B35" w:rsidRPr="00517843" w:rsidRDefault="00AF55DE" w:rsidP="0030579F">
            <w:pPr>
              <w:pStyle w:val="NoSpacing"/>
              <w:rPr>
                <w:rFonts w:ascii="Arial" w:hAnsi="Arial" w:cs="Arial"/>
              </w:rPr>
            </w:pPr>
            <w:r w:rsidRPr="00517843">
              <w:rPr>
                <w:rFonts w:ascii="Arial" w:hAnsi="Arial" w:cs="Arial"/>
              </w:rPr>
              <w:t>Growth, Environment &amp; Transport</w:t>
            </w:r>
          </w:p>
        </w:tc>
        <w:tc>
          <w:tcPr>
            <w:tcW w:w="810" w:type="dxa"/>
            <w:tcBorders>
              <w:top w:val="single" w:sz="4" w:space="0" w:color="auto"/>
              <w:left w:val="single" w:sz="4" w:space="0" w:color="auto"/>
              <w:bottom w:val="single" w:sz="4" w:space="0" w:color="auto"/>
              <w:right w:val="single" w:sz="4" w:space="0" w:color="auto"/>
            </w:tcBorders>
          </w:tcPr>
          <w:p w14:paraId="2B8DBB07" w14:textId="77777777" w:rsidR="00975B35" w:rsidRPr="00517843" w:rsidRDefault="00AF55DE" w:rsidP="0030579F">
            <w:pPr>
              <w:pStyle w:val="NoSpacing"/>
              <w:rPr>
                <w:rFonts w:ascii="Arial" w:hAnsi="Arial" w:cs="Arial"/>
              </w:rPr>
            </w:pPr>
            <w:r w:rsidRPr="00517843">
              <w:rPr>
                <w:rFonts w:ascii="Arial" w:hAnsi="Arial" w:cs="Arial"/>
              </w:rPr>
              <w:t>High</w:t>
            </w:r>
          </w:p>
        </w:tc>
        <w:tc>
          <w:tcPr>
            <w:tcW w:w="1440" w:type="dxa"/>
            <w:tcBorders>
              <w:top w:val="single" w:sz="4" w:space="0" w:color="auto"/>
              <w:left w:val="single" w:sz="4" w:space="0" w:color="auto"/>
              <w:bottom w:val="single" w:sz="4" w:space="0" w:color="auto"/>
              <w:right w:val="single" w:sz="4" w:space="0" w:color="auto"/>
            </w:tcBorders>
            <w:shd w:val="clear" w:color="auto" w:fill="FF0000"/>
            <w:vAlign w:val="center"/>
          </w:tcPr>
          <w:p w14:paraId="561F2AC0" w14:textId="77777777" w:rsidR="00975B35" w:rsidRPr="004019BF" w:rsidRDefault="00AF55DE" w:rsidP="78C3123E">
            <w:pPr>
              <w:pStyle w:val="NoSpacing"/>
              <w:jc w:val="center"/>
              <w:rPr>
                <w:rFonts w:ascii="Arial" w:hAnsi="Arial" w:cs="Arial"/>
                <w:color w:val="E7E6E6" w:themeColor="background2"/>
              </w:rPr>
            </w:pPr>
            <w:r w:rsidRPr="78C3123E">
              <w:rPr>
                <w:rFonts w:ascii="Arial" w:hAnsi="Arial" w:cs="Arial"/>
                <w:color w:val="E7E6E6" w:themeColor="background2"/>
              </w:rPr>
              <w:t>92.63%</w:t>
            </w:r>
          </w:p>
        </w:tc>
        <w:tc>
          <w:tcPr>
            <w:tcW w:w="126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4B7F91F" w14:textId="5996B689" w:rsidR="00975B35" w:rsidRPr="004019BF" w:rsidRDefault="00AF55DE" w:rsidP="62385CB5">
            <w:pPr>
              <w:pStyle w:val="NoSpacing"/>
              <w:jc w:val="center"/>
              <w:rPr>
                <w:rFonts w:ascii="Arial" w:hAnsi="Arial" w:cs="Arial"/>
              </w:rPr>
            </w:pPr>
            <w:r w:rsidRPr="62385CB5">
              <w:rPr>
                <w:rFonts w:ascii="Arial" w:hAnsi="Arial" w:cs="Arial"/>
              </w:rPr>
              <w:t>91.95%</w:t>
            </w:r>
          </w:p>
        </w:tc>
        <w:tc>
          <w:tcPr>
            <w:tcW w:w="117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C5B22C8" w14:textId="77777777" w:rsidR="62385CB5" w:rsidRDefault="00AF55DE" w:rsidP="62385CB5">
            <w:pPr>
              <w:pStyle w:val="NoSpacing"/>
              <w:jc w:val="center"/>
              <w:rPr>
                <w:rFonts w:ascii="Arial" w:hAnsi="Arial" w:cs="Arial"/>
                <w:color w:val="FFFFFF" w:themeColor="background1"/>
              </w:rPr>
            </w:pPr>
            <w:r w:rsidRPr="62385CB5">
              <w:rPr>
                <w:rFonts w:ascii="Arial" w:hAnsi="Arial" w:cs="Arial"/>
              </w:rPr>
              <w:t>96.88%</w:t>
            </w:r>
          </w:p>
        </w:tc>
        <w:tc>
          <w:tcPr>
            <w:tcW w:w="1710" w:type="dxa"/>
            <w:tcBorders>
              <w:top w:val="single" w:sz="4" w:space="0" w:color="auto"/>
              <w:left w:val="single" w:sz="4" w:space="0" w:color="auto"/>
              <w:bottom w:val="single" w:sz="4" w:space="0" w:color="auto"/>
              <w:right w:val="single" w:sz="4" w:space="0" w:color="auto"/>
            </w:tcBorders>
            <w:shd w:val="clear" w:color="auto" w:fill="FF0000"/>
            <w:vAlign w:val="center"/>
          </w:tcPr>
          <w:p w14:paraId="12FE366C" w14:textId="762AD88F" w:rsidR="374235AC" w:rsidRDefault="00AF55DE" w:rsidP="78C3123E">
            <w:pPr>
              <w:pStyle w:val="NoSpacing"/>
              <w:jc w:val="center"/>
              <w:rPr>
                <w:rFonts w:ascii="Arial" w:hAnsi="Arial" w:cs="Arial"/>
                <w:color w:val="E7E6E6" w:themeColor="background2"/>
              </w:rPr>
            </w:pPr>
            <w:r w:rsidRPr="78C3123E">
              <w:rPr>
                <w:rFonts w:ascii="Arial" w:hAnsi="Arial" w:cs="Arial"/>
                <w:color w:val="E7E6E6" w:themeColor="background2"/>
              </w:rPr>
              <w:t>88.10%</w:t>
            </w:r>
          </w:p>
        </w:tc>
        <w:tc>
          <w:tcPr>
            <w:tcW w:w="1575" w:type="dxa"/>
            <w:tcBorders>
              <w:top w:val="single" w:sz="4" w:space="0" w:color="auto"/>
              <w:left w:val="single" w:sz="4" w:space="0" w:color="auto"/>
              <w:bottom w:val="single" w:sz="4" w:space="0" w:color="auto"/>
              <w:right w:val="single" w:sz="4" w:space="0" w:color="auto"/>
            </w:tcBorders>
            <w:vAlign w:val="center"/>
          </w:tcPr>
          <w:p w14:paraId="2511FB38" w14:textId="10C1DE7B" w:rsidR="00975B35" w:rsidRPr="00517843" w:rsidRDefault="00AF55DE" w:rsidP="0030579F">
            <w:pPr>
              <w:pStyle w:val="NoSpacing"/>
              <w:jc w:val="center"/>
              <w:rPr>
                <w:rFonts w:ascii="Arial" w:hAnsi="Arial" w:cs="Arial"/>
              </w:rPr>
            </w:pPr>
            <w:r w:rsidRPr="62385CB5">
              <w:rPr>
                <w:rFonts w:ascii="Arial" w:hAnsi="Arial" w:cs="Arial"/>
              </w:rPr>
              <w:t>95%</w:t>
            </w:r>
          </w:p>
        </w:tc>
      </w:tr>
      <w:tr w:rsidR="00BB349C" w14:paraId="26E9870E" w14:textId="77777777" w:rsidTr="78C3123E">
        <w:trPr>
          <w:trHeight w:val="863"/>
          <w:jc w:val="center"/>
        </w:trPr>
        <w:tc>
          <w:tcPr>
            <w:tcW w:w="2555" w:type="dxa"/>
            <w:tcBorders>
              <w:top w:val="single" w:sz="4" w:space="0" w:color="auto"/>
              <w:left w:val="single" w:sz="4" w:space="0" w:color="auto"/>
              <w:bottom w:val="single" w:sz="4" w:space="0" w:color="auto"/>
              <w:right w:val="single" w:sz="4" w:space="0" w:color="auto"/>
            </w:tcBorders>
            <w:hideMark/>
          </w:tcPr>
          <w:p w14:paraId="3E52C26C" w14:textId="77777777" w:rsidR="00975B35" w:rsidRPr="00517843" w:rsidRDefault="00AF55DE" w:rsidP="0030579F">
            <w:pPr>
              <w:pStyle w:val="NoSpacing"/>
              <w:rPr>
                <w:rFonts w:ascii="Arial" w:hAnsi="Arial" w:cs="Arial"/>
              </w:rPr>
            </w:pPr>
            <w:r>
              <w:rPr>
                <w:rFonts w:ascii="Arial" w:hAnsi="Arial" w:cs="Arial"/>
              </w:rPr>
              <w:t>Safety carriageway d</w:t>
            </w:r>
            <w:r w:rsidRPr="00517843">
              <w:rPr>
                <w:rFonts w:ascii="Arial" w:hAnsi="Arial" w:cs="Arial"/>
              </w:rPr>
              <w:t xml:space="preserve">efects repaired within 2 working days </w:t>
            </w:r>
            <w:r w:rsidRPr="00517843">
              <w:rPr>
                <w:rFonts w:ascii="Arial" w:hAnsi="Arial" w:cs="Arial"/>
              </w:rPr>
              <w:t>(urgent)</w:t>
            </w:r>
          </w:p>
        </w:tc>
        <w:tc>
          <w:tcPr>
            <w:tcW w:w="1320" w:type="dxa"/>
            <w:tcBorders>
              <w:top w:val="single" w:sz="4" w:space="0" w:color="auto"/>
              <w:left w:val="single" w:sz="4" w:space="0" w:color="auto"/>
              <w:bottom w:val="single" w:sz="4" w:space="0" w:color="auto"/>
              <w:right w:val="single" w:sz="4" w:space="0" w:color="auto"/>
            </w:tcBorders>
            <w:hideMark/>
          </w:tcPr>
          <w:p w14:paraId="07F9707F" w14:textId="77777777" w:rsidR="00975B35" w:rsidRPr="00517843" w:rsidRDefault="00AF55DE" w:rsidP="0030579F">
            <w:pPr>
              <w:pStyle w:val="NoSpacing"/>
              <w:rPr>
                <w:rFonts w:ascii="Arial" w:hAnsi="Arial" w:cs="Arial"/>
              </w:rPr>
            </w:pPr>
            <w:r w:rsidRPr="00517843">
              <w:rPr>
                <w:rFonts w:ascii="Arial" w:hAnsi="Arial" w:cs="Arial"/>
              </w:rPr>
              <w:t>Quarterly</w:t>
            </w:r>
          </w:p>
        </w:tc>
        <w:tc>
          <w:tcPr>
            <w:tcW w:w="1515" w:type="dxa"/>
            <w:tcBorders>
              <w:top w:val="single" w:sz="4" w:space="0" w:color="auto"/>
              <w:left w:val="single" w:sz="4" w:space="0" w:color="auto"/>
              <w:bottom w:val="single" w:sz="4" w:space="0" w:color="auto"/>
              <w:right w:val="single" w:sz="4" w:space="0" w:color="auto"/>
            </w:tcBorders>
          </w:tcPr>
          <w:p w14:paraId="075D61A7" w14:textId="77777777" w:rsidR="00975B35" w:rsidRPr="00517843" w:rsidRDefault="00AF55DE" w:rsidP="0030579F">
            <w:pPr>
              <w:pStyle w:val="NoSpacing"/>
              <w:rPr>
                <w:rFonts w:ascii="Arial" w:hAnsi="Arial" w:cs="Arial"/>
              </w:rPr>
            </w:pPr>
            <w:r w:rsidRPr="00517843">
              <w:rPr>
                <w:rFonts w:ascii="Arial" w:hAnsi="Arial" w:cs="Arial"/>
              </w:rPr>
              <w:t>Growth, Environment &amp; Transport</w:t>
            </w:r>
          </w:p>
        </w:tc>
        <w:tc>
          <w:tcPr>
            <w:tcW w:w="810" w:type="dxa"/>
            <w:tcBorders>
              <w:top w:val="single" w:sz="4" w:space="0" w:color="auto"/>
              <w:left w:val="single" w:sz="4" w:space="0" w:color="auto"/>
              <w:bottom w:val="single" w:sz="4" w:space="0" w:color="auto"/>
              <w:right w:val="single" w:sz="4" w:space="0" w:color="auto"/>
            </w:tcBorders>
          </w:tcPr>
          <w:p w14:paraId="2477E8E9" w14:textId="77777777" w:rsidR="00975B35" w:rsidRPr="00517843" w:rsidRDefault="00AF55DE" w:rsidP="0030579F">
            <w:pPr>
              <w:pStyle w:val="NoSpacing"/>
              <w:rPr>
                <w:rFonts w:ascii="Arial" w:hAnsi="Arial" w:cs="Arial"/>
              </w:rPr>
            </w:pPr>
            <w:r w:rsidRPr="00517843">
              <w:rPr>
                <w:rFonts w:ascii="Arial" w:hAnsi="Arial" w:cs="Arial"/>
              </w:rPr>
              <w:t>High</w:t>
            </w:r>
          </w:p>
        </w:tc>
        <w:tc>
          <w:tcPr>
            <w:tcW w:w="1440" w:type="dxa"/>
            <w:tcBorders>
              <w:top w:val="single" w:sz="4" w:space="0" w:color="auto"/>
              <w:left w:val="single" w:sz="4" w:space="0" w:color="auto"/>
              <w:bottom w:val="single" w:sz="4" w:space="0" w:color="auto"/>
              <w:right w:val="single" w:sz="4" w:space="0" w:color="auto"/>
            </w:tcBorders>
            <w:shd w:val="clear" w:color="auto" w:fill="FF0000"/>
            <w:vAlign w:val="center"/>
          </w:tcPr>
          <w:p w14:paraId="4ED452B3" w14:textId="77777777" w:rsidR="00975B35" w:rsidRPr="00217508" w:rsidRDefault="00AF55DE" w:rsidP="78C3123E">
            <w:pPr>
              <w:pStyle w:val="NoSpacing"/>
              <w:jc w:val="center"/>
              <w:rPr>
                <w:rFonts w:ascii="Arial" w:hAnsi="Arial" w:cs="Arial"/>
                <w:color w:val="E7E6E6" w:themeColor="background2"/>
              </w:rPr>
            </w:pPr>
            <w:r w:rsidRPr="00217508">
              <w:rPr>
                <w:rFonts w:ascii="Arial" w:hAnsi="Arial" w:cs="Arial"/>
                <w:color w:val="E7E6E6" w:themeColor="background2"/>
              </w:rPr>
              <w:t>92.02%</w:t>
            </w:r>
          </w:p>
        </w:tc>
        <w:tc>
          <w:tcPr>
            <w:tcW w:w="1260" w:type="dxa"/>
            <w:tcBorders>
              <w:top w:val="single" w:sz="4" w:space="0" w:color="auto"/>
              <w:left w:val="single" w:sz="4" w:space="0" w:color="auto"/>
              <w:bottom w:val="single" w:sz="4" w:space="0" w:color="auto"/>
              <w:right w:val="single" w:sz="4" w:space="0" w:color="auto"/>
            </w:tcBorders>
            <w:shd w:val="clear" w:color="auto" w:fill="FF0000"/>
            <w:vAlign w:val="center"/>
          </w:tcPr>
          <w:p w14:paraId="427570CC" w14:textId="70AD225C" w:rsidR="00975B35" w:rsidRPr="00DE5D47" w:rsidRDefault="00AF55DE" w:rsidP="78C3123E">
            <w:pPr>
              <w:pStyle w:val="NoSpacing"/>
              <w:jc w:val="center"/>
              <w:rPr>
                <w:rFonts w:ascii="Arial" w:hAnsi="Arial" w:cs="Arial"/>
                <w:color w:val="E7E6E6" w:themeColor="background2"/>
              </w:rPr>
            </w:pPr>
            <w:r w:rsidRPr="78C3123E">
              <w:rPr>
                <w:rFonts w:ascii="Arial" w:hAnsi="Arial" w:cs="Arial"/>
                <w:color w:val="E7E6E6" w:themeColor="background2"/>
              </w:rPr>
              <w:t>86.79%</w:t>
            </w:r>
          </w:p>
        </w:tc>
        <w:tc>
          <w:tcPr>
            <w:tcW w:w="1170" w:type="dxa"/>
            <w:tcBorders>
              <w:top w:val="single" w:sz="4" w:space="0" w:color="auto"/>
              <w:left w:val="single" w:sz="4" w:space="0" w:color="auto"/>
              <w:bottom w:val="single" w:sz="4" w:space="0" w:color="auto"/>
              <w:right w:val="single" w:sz="4" w:space="0" w:color="auto"/>
            </w:tcBorders>
            <w:shd w:val="clear" w:color="auto" w:fill="FF0000"/>
            <w:vAlign w:val="center"/>
          </w:tcPr>
          <w:p w14:paraId="3F6E2EBE" w14:textId="77777777" w:rsidR="62385CB5" w:rsidRDefault="00AF55DE" w:rsidP="78C3123E">
            <w:pPr>
              <w:pStyle w:val="NoSpacing"/>
              <w:jc w:val="center"/>
              <w:rPr>
                <w:rFonts w:ascii="Arial" w:hAnsi="Arial" w:cs="Arial"/>
                <w:color w:val="E7E6E6" w:themeColor="background2"/>
              </w:rPr>
            </w:pPr>
            <w:r w:rsidRPr="78C3123E">
              <w:rPr>
                <w:rFonts w:ascii="Arial" w:hAnsi="Arial" w:cs="Arial"/>
                <w:color w:val="E7E6E6" w:themeColor="background2"/>
              </w:rPr>
              <w:t>84.82%</w:t>
            </w:r>
          </w:p>
        </w:tc>
        <w:tc>
          <w:tcPr>
            <w:tcW w:w="1710" w:type="dxa"/>
            <w:tcBorders>
              <w:top w:val="single" w:sz="4" w:space="0" w:color="auto"/>
              <w:left w:val="single" w:sz="4" w:space="0" w:color="auto"/>
              <w:bottom w:val="single" w:sz="4" w:space="0" w:color="auto"/>
              <w:right w:val="single" w:sz="4" w:space="0" w:color="auto"/>
            </w:tcBorders>
            <w:shd w:val="clear" w:color="auto" w:fill="FF0000"/>
            <w:vAlign w:val="center"/>
          </w:tcPr>
          <w:p w14:paraId="06FA43C3" w14:textId="65B948D2" w:rsidR="5877BDC5" w:rsidRDefault="00AF55DE" w:rsidP="78C3123E">
            <w:pPr>
              <w:pStyle w:val="NoSpacing"/>
              <w:jc w:val="center"/>
              <w:rPr>
                <w:rFonts w:ascii="Arial" w:hAnsi="Arial" w:cs="Arial"/>
                <w:color w:val="E7E6E6" w:themeColor="background2"/>
              </w:rPr>
            </w:pPr>
            <w:r w:rsidRPr="78C3123E">
              <w:rPr>
                <w:rFonts w:ascii="Arial" w:hAnsi="Arial" w:cs="Arial"/>
                <w:color w:val="E7E6E6" w:themeColor="background2"/>
              </w:rPr>
              <w:t>82.29%</w:t>
            </w:r>
          </w:p>
        </w:tc>
        <w:tc>
          <w:tcPr>
            <w:tcW w:w="1575" w:type="dxa"/>
            <w:tcBorders>
              <w:top w:val="single" w:sz="4" w:space="0" w:color="auto"/>
              <w:left w:val="single" w:sz="4" w:space="0" w:color="auto"/>
              <w:bottom w:val="single" w:sz="4" w:space="0" w:color="auto"/>
              <w:right w:val="single" w:sz="4" w:space="0" w:color="auto"/>
            </w:tcBorders>
            <w:vAlign w:val="center"/>
          </w:tcPr>
          <w:p w14:paraId="3D2A9D83" w14:textId="7F356271" w:rsidR="00975B35" w:rsidRPr="00517843" w:rsidRDefault="00AF55DE" w:rsidP="0030579F">
            <w:pPr>
              <w:pStyle w:val="NoSpacing"/>
              <w:jc w:val="center"/>
              <w:rPr>
                <w:rFonts w:ascii="Arial" w:hAnsi="Arial" w:cs="Arial"/>
              </w:rPr>
            </w:pPr>
            <w:r w:rsidRPr="62385CB5">
              <w:rPr>
                <w:rFonts w:ascii="Arial" w:hAnsi="Arial" w:cs="Arial"/>
              </w:rPr>
              <w:t>95%</w:t>
            </w:r>
          </w:p>
        </w:tc>
      </w:tr>
      <w:tr w:rsidR="00BB349C" w14:paraId="79DB6F8E" w14:textId="77777777" w:rsidTr="78C3123E">
        <w:trPr>
          <w:trHeight w:val="474"/>
          <w:jc w:val="center"/>
        </w:trPr>
        <w:tc>
          <w:tcPr>
            <w:tcW w:w="2555" w:type="dxa"/>
            <w:tcBorders>
              <w:top w:val="single" w:sz="4" w:space="0" w:color="auto"/>
              <w:left w:val="single" w:sz="4" w:space="0" w:color="auto"/>
              <w:bottom w:val="single" w:sz="4" w:space="0" w:color="auto"/>
              <w:right w:val="single" w:sz="4" w:space="0" w:color="auto"/>
            </w:tcBorders>
            <w:hideMark/>
          </w:tcPr>
          <w:p w14:paraId="67EEDD1B" w14:textId="77777777" w:rsidR="00975B35" w:rsidRPr="00517843" w:rsidRDefault="00AF55DE" w:rsidP="0030579F">
            <w:pPr>
              <w:pStyle w:val="NoSpacing"/>
              <w:rPr>
                <w:rFonts w:ascii="Arial" w:hAnsi="Arial" w:cs="Arial"/>
              </w:rPr>
            </w:pPr>
            <w:r>
              <w:rPr>
                <w:rFonts w:ascii="Arial" w:hAnsi="Arial" w:cs="Arial"/>
              </w:rPr>
              <w:t>Safety carriageway d</w:t>
            </w:r>
            <w:r w:rsidRPr="00517843">
              <w:rPr>
                <w:rFonts w:ascii="Arial" w:hAnsi="Arial" w:cs="Arial"/>
              </w:rPr>
              <w:t xml:space="preserve">efects repaired within 5 working days (non-urgent) </w:t>
            </w:r>
          </w:p>
        </w:tc>
        <w:tc>
          <w:tcPr>
            <w:tcW w:w="1320" w:type="dxa"/>
            <w:tcBorders>
              <w:top w:val="single" w:sz="4" w:space="0" w:color="auto"/>
              <w:left w:val="single" w:sz="4" w:space="0" w:color="auto"/>
              <w:bottom w:val="single" w:sz="4" w:space="0" w:color="auto"/>
              <w:right w:val="single" w:sz="4" w:space="0" w:color="auto"/>
            </w:tcBorders>
            <w:hideMark/>
          </w:tcPr>
          <w:p w14:paraId="51A5376A" w14:textId="77777777" w:rsidR="00975B35" w:rsidRPr="00517843" w:rsidRDefault="00AF55DE" w:rsidP="0030579F">
            <w:pPr>
              <w:pStyle w:val="NoSpacing"/>
              <w:rPr>
                <w:rFonts w:ascii="Arial" w:hAnsi="Arial" w:cs="Arial"/>
              </w:rPr>
            </w:pPr>
            <w:r w:rsidRPr="00517843">
              <w:rPr>
                <w:rFonts w:ascii="Arial" w:hAnsi="Arial" w:cs="Arial"/>
              </w:rPr>
              <w:t>Quarterly</w:t>
            </w:r>
          </w:p>
        </w:tc>
        <w:tc>
          <w:tcPr>
            <w:tcW w:w="1515" w:type="dxa"/>
            <w:tcBorders>
              <w:top w:val="single" w:sz="4" w:space="0" w:color="auto"/>
              <w:left w:val="single" w:sz="4" w:space="0" w:color="auto"/>
              <w:bottom w:val="single" w:sz="4" w:space="0" w:color="auto"/>
              <w:right w:val="single" w:sz="4" w:space="0" w:color="auto"/>
            </w:tcBorders>
          </w:tcPr>
          <w:p w14:paraId="4A4BB8D8" w14:textId="77777777" w:rsidR="00975B35" w:rsidRPr="00517843" w:rsidRDefault="00AF55DE" w:rsidP="0030579F">
            <w:pPr>
              <w:pStyle w:val="NoSpacing"/>
              <w:rPr>
                <w:rFonts w:ascii="Arial" w:hAnsi="Arial" w:cs="Arial"/>
              </w:rPr>
            </w:pPr>
            <w:r w:rsidRPr="00517843">
              <w:rPr>
                <w:rFonts w:ascii="Arial" w:hAnsi="Arial" w:cs="Arial"/>
              </w:rPr>
              <w:t>Growth, Environment &amp; Transport</w:t>
            </w:r>
          </w:p>
        </w:tc>
        <w:tc>
          <w:tcPr>
            <w:tcW w:w="810" w:type="dxa"/>
            <w:tcBorders>
              <w:top w:val="single" w:sz="4" w:space="0" w:color="auto"/>
              <w:left w:val="single" w:sz="4" w:space="0" w:color="auto"/>
              <w:bottom w:val="single" w:sz="4" w:space="0" w:color="auto"/>
              <w:right w:val="single" w:sz="4" w:space="0" w:color="auto"/>
            </w:tcBorders>
          </w:tcPr>
          <w:p w14:paraId="55FF206B" w14:textId="77777777" w:rsidR="00975B35" w:rsidRPr="00517843" w:rsidRDefault="00AF55DE" w:rsidP="0030579F">
            <w:pPr>
              <w:pStyle w:val="NoSpacing"/>
              <w:rPr>
                <w:rFonts w:ascii="Arial" w:hAnsi="Arial" w:cs="Arial"/>
              </w:rPr>
            </w:pPr>
            <w:r w:rsidRPr="00517843">
              <w:rPr>
                <w:rFonts w:ascii="Arial" w:hAnsi="Arial" w:cs="Arial"/>
              </w:rPr>
              <w:t>High</w:t>
            </w:r>
          </w:p>
        </w:tc>
        <w:tc>
          <w:tcPr>
            <w:tcW w:w="1440" w:type="dxa"/>
            <w:tcBorders>
              <w:top w:val="single" w:sz="4" w:space="0" w:color="auto"/>
              <w:left w:val="single" w:sz="4" w:space="0" w:color="auto"/>
              <w:bottom w:val="single" w:sz="4" w:space="0" w:color="auto"/>
              <w:right w:val="single" w:sz="4" w:space="0" w:color="auto"/>
            </w:tcBorders>
            <w:shd w:val="clear" w:color="auto" w:fill="FF0000"/>
            <w:vAlign w:val="center"/>
          </w:tcPr>
          <w:p w14:paraId="7D369C64" w14:textId="77777777" w:rsidR="00975B35" w:rsidRPr="00217508" w:rsidRDefault="00AF55DE" w:rsidP="78C3123E">
            <w:pPr>
              <w:pStyle w:val="NoSpacing"/>
              <w:jc w:val="center"/>
              <w:rPr>
                <w:rFonts w:ascii="Arial" w:hAnsi="Arial" w:cs="Arial"/>
                <w:color w:val="E7E6E6" w:themeColor="background2"/>
              </w:rPr>
            </w:pPr>
            <w:r w:rsidRPr="00217508">
              <w:rPr>
                <w:rFonts w:ascii="Arial" w:hAnsi="Arial" w:cs="Arial"/>
                <w:color w:val="E7E6E6" w:themeColor="background2"/>
              </w:rPr>
              <w:t>86.06%</w:t>
            </w:r>
          </w:p>
        </w:tc>
        <w:tc>
          <w:tcPr>
            <w:tcW w:w="1260" w:type="dxa"/>
            <w:tcBorders>
              <w:top w:val="single" w:sz="4" w:space="0" w:color="auto"/>
              <w:left w:val="single" w:sz="4" w:space="0" w:color="auto"/>
              <w:bottom w:val="single" w:sz="4" w:space="0" w:color="auto"/>
              <w:right w:val="single" w:sz="4" w:space="0" w:color="auto"/>
            </w:tcBorders>
            <w:shd w:val="clear" w:color="auto" w:fill="FF0000"/>
            <w:vAlign w:val="center"/>
          </w:tcPr>
          <w:p w14:paraId="331AA0BD" w14:textId="03332302" w:rsidR="00975B35" w:rsidRPr="00DE5D47" w:rsidRDefault="00AF55DE" w:rsidP="0030579F">
            <w:pPr>
              <w:pStyle w:val="NoSpacing"/>
              <w:jc w:val="center"/>
              <w:rPr>
                <w:rFonts w:ascii="Arial" w:hAnsi="Arial" w:cs="Arial"/>
              </w:rPr>
            </w:pPr>
            <w:r w:rsidRPr="78C3123E">
              <w:rPr>
                <w:rFonts w:ascii="Arial" w:hAnsi="Arial" w:cs="Arial"/>
                <w:color w:val="E7E6E6" w:themeColor="background2"/>
              </w:rPr>
              <w:t>85.28%</w:t>
            </w:r>
          </w:p>
        </w:tc>
        <w:tc>
          <w:tcPr>
            <w:tcW w:w="117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885D732" w14:textId="77777777" w:rsidR="62385CB5" w:rsidRDefault="00AF55DE" w:rsidP="62385CB5">
            <w:pPr>
              <w:pStyle w:val="NoSpacing"/>
              <w:jc w:val="center"/>
              <w:rPr>
                <w:rFonts w:ascii="Arial" w:hAnsi="Arial" w:cs="Arial"/>
              </w:rPr>
            </w:pPr>
            <w:r w:rsidRPr="62385CB5">
              <w:rPr>
                <w:rFonts w:ascii="Arial" w:hAnsi="Arial" w:cs="Arial"/>
              </w:rPr>
              <w:t>87.32%</w:t>
            </w:r>
          </w:p>
        </w:tc>
        <w:tc>
          <w:tcPr>
            <w:tcW w:w="1710" w:type="dxa"/>
            <w:tcBorders>
              <w:top w:val="single" w:sz="4" w:space="0" w:color="auto"/>
              <w:left w:val="single" w:sz="4" w:space="0" w:color="auto"/>
              <w:bottom w:val="single" w:sz="4" w:space="0" w:color="auto"/>
              <w:right w:val="single" w:sz="4" w:space="0" w:color="auto"/>
            </w:tcBorders>
            <w:shd w:val="clear" w:color="auto" w:fill="FF0000"/>
            <w:vAlign w:val="center"/>
          </w:tcPr>
          <w:p w14:paraId="418CD750" w14:textId="7F9B329F" w:rsidR="238881B6" w:rsidRDefault="00AF55DE" w:rsidP="78C3123E">
            <w:pPr>
              <w:pStyle w:val="NoSpacing"/>
              <w:jc w:val="center"/>
              <w:rPr>
                <w:rFonts w:ascii="Arial" w:hAnsi="Arial" w:cs="Arial"/>
                <w:color w:val="E7E6E6" w:themeColor="background2"/>
              </w:rPr>
            </w:pPr>
            <w:r w:rsidRPr="78C3123E">
              <w:rPr>
                <w:rFonts w:ascii="Arial" w:hAnsi="Arial" w:cs="Arial"/>
                <w:color w:val="E7E6E6" w:themeColor="background2"/>
              </w:rPr>
              <w:t>79.2%</w:t>
            </w:r>
          </w:p>
        </w:tc>
        <w:tc>
          <w:tcPr>
            <w:tcW w:w="1575" w:type="dxa"/>
            <w:tcBorders>
              <w:top w:val="single" w:sz="4" w:space="0" w:color="auto"/>
              <w:left w:val="single" w:sz="4" w:space="0" w:color="auto"/>
              <w:bottom w:val="single" w:sz="4" w:space="0" w:color="auto"/>
              <w:right w:val="single" w:sz="4" w:space="0" w:color="auto"/>
            </w:tcBorders>
            <w:vAlign w:val="center"/>
          </w:tcPr>
          <w:p w14:paraId="08BA9B10" w14:textId="4FEAC664" w:rsidR="00975B35" w:rsidRPr="00517843" w:rsidRDefault="00AF55DE" w:rsidP="0030579F">
            <w:pPr>
              <w:pStyle w:val="NoSpacing"/>
              <w:jc w:val="center"/>
              <w:rPr>
                <w:rFonts w:ascii="Arial" w:hAnsi="Arial" w:cs="Arial"/>
              </w:rPr>
            </w:pPr>
            <w:r w:rsidRPr="62385CB5">
              <w:rPr>
                <w:rFonts w:ascii="Arial" w:hAnsi="Arial" w:cs="Arial"/>
              </w:rPr>
              <w:t>90%</w:t>
            </w:r>
          </w:p>
        </w:tc>
      </w:tr>
      <w:tr w:rsidR="00BB349C" w14:paraId="6270C900" w14:textId="77777777" w:rsidTr="78C3123E">
        <w:trPr>
          <w:trHeight w:val="474"/>
          <w:jc w:val="center"/>
        </w:trPr>
        <w:tc>
          <w:tcPr>
            <w:tcW w:w="2555" w:type="dxa"/>
            <w:tcBorders>
              <w:top w:val="single" w:sz="4" w:space="0" w:color="auto"/>
              <w:left w:val="single" w:sz="4" w:space="0" w:color="auto"/>
              <w:bottom w:val="single" w:sz="4" w:space="0" w:color="auto"/>
              <w:right w:val="single" w:sz="4" w:space="0" w:color="auto"/>
            </w:tcBorders>
            <w:hideMark/>
          </w:tcPr>
          <w:p w14:paraId="72538402" w14:textId="77777777" w:rsidR="00975B35" w:rsidRPr="00517843" w:rsidRDefault="00AF55DE" w:rsidP="0030579F">
            <w:pPr>
              <w:pStyle w:val="NoSpacing"/>
              <w:rPr>
                <w:rFonts w:ascii="Arial" w:hAnsi="Arial" w:cs="Arial"/>
              </w:rPr>
            </w:pPr>
            <w:r>
              <w:rPr>
                <w:rFonts w:ascii="Arial" w:hAnsi="Arial" w:cs="Arial"/>
              </w:rPr>
              <w:t xml:space="preserve">Safety </w:t>
            </w:r>
            <w:r>
              <w:rPr>
                <w:rFonts w:ascii="Arial" w:hAnsi="Arial" w:cs="Arial"/>
              </w:rPr>
              <w:t>carriageway d</w:t>
            </w:r>
            <w:r w:rsidRPr="00517843">
              <w:rPr>
                <w:rFonts w:ascii="Arial" w:hAnsi="Arial" w:cs="Arial"/>
              </w:rPr>
              <w:t>efects repaired within 20 working days (non-urgent)</w:t>
            </w:r>
          </w:p>
        </w:tc>
        <w:tc>
          <w:tcPr>
            <w:tcW w:w="1320" w:type="dxa"/>
            <w:tcBorders>
              <w:top w:val="single" w:sz="4" w:space="0" w:color="auto"/>
              <w:left w:val="single" w:sz="4" w:space="0" w:color="auto"/>
              <w:bottom w:val="single" w:sz="4" w:space="0" w:color="auto"/>
              <w:right w:val="single" w:sz="4" w:space="0" w:color="auto"/>
            </w:tcBorders>
            <w:hideMark/>
          </w:tcPr>
          <w:p w14:paraId="08FC3073" w14:textId="77777777" w:rsidR="00975B35" w:rsidRPr="00517843" w:rsidRDefault="00AF55DE" w:rsidP="0030579F">
            <w:pPr>
              <w:pStyle w:val="NoSpacing"/>
              <w:rPr>
                <w:rFonts w:ascii="Arial" w:hAnsi="Arial" w:cs="Arial"/>
              </w:rPr>
            </w:pPr>
            <w:r w:rsidRPr="00517843">
              <w:rPr>
                <w:rFonts w:ascii="Arial" w:hAnsi="Arial" w:cs="Arial"/>
              </w:rPr>
              <w:t>Quarterly</w:t>
            </w:r>
          </w:p>
        </w:tc>
        <w:tc>
          <w:tcPr>
            <w:tcW w:w="1515" w:type="dxa"/>
            <w:tcBorders>
              <w:top w:val="single" w:sz="4" w:space="0" w:color="auto"/>
              <w:left w:val="single" w:sz="4" w:space="0" w:color="auto"/>
              <w:bottom w:val="single" w:sz="4" w:space="0" w:color="auto"/>
              <w:right w:val="single" w:sz="4" w:space="0" w:color="auto"/>
            </w:tcBorders>
          </w:tcPr>
          <w:p w14:paraId="4DDB58A9" w14:textId="77777777" w:rsidR="00975B35" w:rsidRPr="00517843" w:rsidRDefault="00AF55DE" w:rsidP="0030579F">
            <w:pPr>
              <w:pStyle w:val="NoSpacing"/>
              <w:rPr>
                <w:rFonts w:ascii="Arial" w:hAnsi="Arial" w:cs="Arial"/>
              </w:rPr>
            </w:pPr>
            <w:r w:rsidRPr="00517843">
              <w:rPr>
                <w:rFonts w:ascii="Arial" w:hAnsi="Arial" w:cs="Arial"/>
              </w:rPr>
              <w:t>Growth, Environment &amp; Transport</w:t>
            </w:r>
          </w:p>
        </w:tc>
        <w:tc>
          <w:tcPr>
            <w:tcW w:w="810" w:type="dxa"/>
            <w:tcBorders>
              <w:top w:val="single" w:sz="4" w:space="0" w:color="auto"/>
              <w:left w:val="single" w:sz="4" w:space="0" w:color="auto"/>
              <w:bottom w:val="single" w:sz="4" w:space="0" w:color="auto"/>
              <w:right w:val="single" w:sz="4" w:space="0" w:color="auto"/>
            </w:tcBorders>
          </w:tcPr>
          <w:p w14:paraId="72E51DAA" w14:textId="77777777" w:rsidR="00975B35" w:rsidRPr="00517843" w:rsidRDefault="00AF55DE" w:rsidP="0030579F">
            <w:pPr>
              <w:pStyle w:val="NoSpacing"/>
              <w:rPr>
                <w:rFonts w:ascii="Arial" w:hAnsi="Arial" w:cs="Arial"/>
              </w:rPr>
            </w:pPr>
            <w:r w:rsidRPr="00517843">
              <w:rPr>
                <w:rFonts w:ascii="Arial" w:hAnsi="Arial" w:cs="Arial"/>
              </w:rPr>
              <w:t>High</w:t>
            </w:r>
          </w:p>
        </w:tc>
        <w:tc>
          <w:tcPr>
            <w:tcW w:w="144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A384E1A" w14:textId="77777777" w:rsidR="00975B35" w:rsidRPr="00DE5D47" w:rsidRDefault="00AF55DE" w:rsidP="0030579F">
            <w:pPr>
              <w:pStyle w:val="NoSpacing"/>
              <w:jc w:val="center"/>
              <w:rPr>
                <w:rFonts w:ascii="Arial" w:hAnsi="Arial" w:cs="Arial"/>
              </w:rPr>
            </w:pPr>
            <w:r w:rsidRPr="62385CB5">
              <w:rPr>
                <w:rFonts w:ascii="Arial" w:hAnsi="Arial" w:cs="Arial"/>
              </w:rPr>
              <w:t>94.29%</w:t>
            </w:r>
          </w:p>
        </w:tc>
        <w:tc>
          <w:tcPr>
            <w:tcW w:w="126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D19112A" w14:textId="696E7286" w:rsidR="00975B35" w:rsidRPr="00DE5D47" w:rsidRDefault="00AF55DE" w:rsidP="0030579F">
            <w:pPr>
              <w:pStyle w:val="NoSpacing"/>
              <w:jc w:val="center"/>
              <w:rPr>
                <w:rFonts w:ascii="Arial" w:hAnsi="Arial" w:cs="Arial"/>
              </w:rPr>
            </w:pPr>
            <w:r w:rsidRPr="62385CB5">
              <w:rPr>
                <w:rFonts w:ascii="Arial" w:hAnsi="Arial" w:cs="Arial"/>
              </w:rPr>
              <w:t>90.14%</w:t>
            </w:r>
          </w:p>
        </w:tc>
        <w:tc>
          <w:tcPr>
            <w:tcW w:w="117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1C300D2" w14:textId="77777777" w:rsidR="62385CB5" w:rsidRDefault="00AF55DE" w:rsidP="62385CB5">
            <w:pPr>
              <w:pStyle w:val="NoSpacing"/>
              <w:jc w:val="center"/>
              <w:rPr>
                <w:rFonts w:ascii="Arial" w:hAnsi="Arial" w:cs="Arial"/>
              </w:rPr>
            </w:pPr>
            <w:r w:rsidRPr="62385CB5">
              <w:rPr>
                <w:rFonts w:ascii="Arial" w:hAnsi="Arial" w:cs="Arial"/>
              </w:rPr>
              <w:t>98.57%</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6364D19" w14:textId="75CA6AD8" w:rsidR="4DE0A493" w:rsidRDefault="00AF55DE" w:rsidP="62385CB5">
            <w:pPr>
              <w:pStyle w:val="NoSpacing"/>
              <w:jc w:val="center"/>
            </w:pPr>
            <w:r w:rsidRPr="62385CB5">
              <w:rPr>
                <w:rFonts w:ascii="Arial" w:hAnsi="Arial" w:cs="Arial"/>
              </w:rPr>
              <w:t>95.42%</w:t>
            </w:r>
          </w:p>
        </w:tc>
        <w:tc>
          <w:tcPr>
            <w:tcW w:w="1575" w:type="dxa"/>
            <w:tcBorders>
              <w:top w:val="single" w:sz="4" w:space="0" w:color="auto"/>
              <w:left w:val="single" w:sz="4" w:space="0" w:color="auto"/>
              <w:bottom w:val="single" w:sz="4" w:space="0" w:color="auto"/>
              <w:right w:val="single" w:sz="4" w:space="0" w:color="auto"/>
            </w:tcBorders>
            <w:vAlign w:val="center"/>
          </w:tcPr>
          <w:p w14:paraId="321172E0" w14:textId="66BBF1A8" w:rsidR="00975B35" w:rsidRPr="00517843" w:rsidRDefault="00AF55DE" w:rsidP="0030579F">
            <w:pPr>
              <w:pStyle w:val="NoSpacing"/>
              <w:jc w:val="center"/>
              <w:rPr>
                <w:rFonts w:ascii="Arial" w:hAnsi="Arial" w:cs="Arial"/>
              </w:rPr>
            </w:pPr>
            <w:r w:rsidRPr="62385CB5">
              <w:rPr>
                <w:rFonts w:ascii="Arial" w:hAnsi="Arial" w:cs="Arial"/>
              </w:rPr>
              <w:t>90%</w:t>
            </w:r>
          </w:p>
        </w:tc>
      </w:tr>
      <w:tr w:rsidR="00BB349C" w14:paraId="17711552" w14:textId="77777777" w:rsidTr="78C3123E">
        <w:trPr>
          <w:trHeight w:val="474"/>
          <w:jc w:val="center"/>
        </w:trPr>
        <w:tc>
          <w:tcPr>
            <w:tcW w:w="2555" w:type="dxa"/>
            <w:tcBorders>
              <w:top w:val="single" w:sz="4" w:space="0" w:color="auto"/>
              <w:left w:val="single" w:sz="4" w:space="0" w:color="auto"/>
              <w:bottom w:val="single" w:sz="4" w:space="0" w:color="auto"/>
              <w:right w:val="single" w:sz="4" w:space="0" w:color="auto"/>
            </w:tcBorders>
          </w:tcPr>
          <w:p w14:paraId="1BDBF13D" w14:textId="73E58931" w:rsidR="00975B35" w:rsidRPr="00AF11A4" w:rsidRDefault="00AF55DE" w:rsidP="00140DF8">
            <w:pPr>
              <w:pStyle w:val="NoSpacing"/>
              <w:rPr>
                <w:rFonts w:ascii="Arial" w:hAnsi="Arial" w:cs="Arial"/>
                <w:color w:val="000000"/>
              </w:rPr>
            </w:pPr>
            <w:r>
              <w:rPr>
                <w:rFonts w:ascii="Arial" w:hAnsi="Arial" w:cs="Arial"/>
                <w:color w:val="000000"/>
              </w:rPr>
              <w:t>Percentage</w:t>
            </w:r>
            <w:r w:rsidRPr="00AF11A4">
              <w:rPr>
                <w:rFonts w:ascii="Arial" w:hAnsi="Arial" w:cs="Arial"/>
                <w:color w:val="000000"/>
              </w:rPr>
              <w:t xml:space="preserve"> of Non-Traffic Management (NTM)</w:t>
            </w:r>
            <w:r>
              <w:rPr>
                <w:rFonts w:ascii="Arial" w:hAnsi="Arial" w:cs="Arial"/>
                <w:color w:val="000000"/>
              </w:rPr>
              <w:t xml:space="preserve"> lamp-out </w:t>
            </w:r>
            <w:r w:rsidRPr="00AF11A4">
              <w:rPr>
                <w:rFonts w:ascii="Arial" w:hAnsi="Arial" w:cs="Arial"/>
                <w:color w:val="000000"/>
              </w:rPr>
              <w:t>faults repaired within 5 working days</w:t>
            </w:r>
          </w:p>
        </w:tc>
        <w:tc>
          <w:tcPr>
            <w:tcW w:w="1320" w:type="dxa"/>
            <w:tcBorders>
              <w:top w:val="single" w:sz="4" w:space="0" w:color="auto"/>
              <w:left w:val="single" w:sz="4" w:space="0" w:color="auto"/>
              <w:bottom w:val="single" w:sz="4" w:space="0" w:color="auto"/>
              <w:right w:val="single" w:sz="4" w:space="0" w:color="auto"/>
            </w:tcBorders>
          </w:tcPr>
          <w:p w14:paraId="5FC26010" w14:textId="77777777" w:rsidR="00975B35" w:rsidRPr="00517843" w:rsidRDefault="00AF55DE" w:rsidP="0030579F">
            <w:pPr>
              <w:pStyle w:val="NoSpacing"/>
              <w:rPr>
                <w:rFonts w:ascii="Arial" w:hAnsi="Arial" w:cs="Arial"/>
              </w:rPr>
            </w:pPr>
            <w:r w:rsidRPr="00517843">
              <w:rPr>
                <w:rFonts w:ascii="Arial" w:hAnsi="Arial" w:cs="Arial"/>
              </w:rPr>
              <w:t>Quarterly</w:t>
            </w:r>
          </w:p>
        </w:tc>
        <w:tc>
          <w:tcPr>
            <w:tcW w:w="1515" w:type="dxa"/>
            <w:tcBorders>
              <w:top w:val="single" w:sz="4" w:space="0" w:color="auto"/>
              <w:left w:val="single" w:sz="4" w:space="0" w:color="auto"/>
              <w:bottom w:val="single" w:sz="4" w:space="0" w:color="auto"/>
              <w:right w:val="single" w:sz="4" w:space="0" w:color="auto"/>
            </w:tcBorders>
          </w:tcPr>
          <w:p w14:paraId="3EEC3AC7" w14:textId="77777777" w:rsidR="00975B35" w:rsidRPr="00517843" w:rsidRDefault="00AF55DE" w:rsidP="0030579F">
            <w:pPr>
              <w:pStyle w:val="NoSpacing"/>
              <w:rPr>
                <w:rFonts w:ascii="Arial" w:hAnsi="Arial" w:cs="Arial"/>
              </w:rPr>
            </w:pPr>
            <w:r w:rsidRPr="00517843">
              <w:rPr>
                <w:rFonts w:ascii="Arial" w:hAnsi="Arial" w:cs="Arial"/>
              </w:rPr>
              <w:t>Growth, Environment &amp; Transport</w:t>
            </w:r>
          </w:p>
        </w:tc>
        <w:tc>
          <w:tcPr>
            <w:tcW w:w="810" w:type="dxa"/>
            <w:tcBorders>
              <w:top w:val="single" w:sz="4" w:space="0" w:color="auto"/>
              <w:left w:val="single" w:sz="4" w:space="0" w:color="auto"/>
              <w:bottom w:val="single" w:sz="4" w:space="0" w:color="auto"/>
              <w:right w:val="single" w:sz="4" w:space="0" w:color="auto"/>
            </w:tcBorders>
          </w:tcPr>
          <w:p w14:paraId="0797AC87" w14:textId="77777777" w:rsidR="00975B35" w:rsidRDefault="00975B35" w:rsidP="0030579F">
            <w:pPr>
              <w:pStyle w:val="NoSpacing"/>
              <w:rPr>
                <w:rFonts w:ascii="Arial" w:hAnsi="Arial" w:cs="Arial"/>
              </w:rPr>
            </w:pPr>
          </w:p>
          <w:p w14:paraId="60C26E6A" w14:textId="77777777" w:rsidR="00975B35" w:rsidRPr="00517843" w:rsidRDefault="00AF55DE" w:rsidP="0030579F">
            <w:pPr>
              <w:pStyle w:val="NoSpacing"/>
              <w:rPr>
                <w:rFonts w:ascii="Arial" w:hAnsi="Arial" w:cs="Arial"/>
              </w:rPr>
            </w:pPr>
            <w:r>
              <w:rPr>
                <w:rFonts w:ascii="Arial" w:hAnsi="Arial" w:cs="Arial"/>
              </w:rPr>
              <w:t>High</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FA6E29D" w14:textId="6821F012" w:rsidR="00975B35" w:rsidRPr="00E12711" w:rsidRDefault="00AF55DE" w:rsidP="62385CB5">
            <w:pPr>
              <w:pStyle w:val="NoSpacing"/>
              <w:jc w:val="center"/>
              <w:rPr>
                <w:rFonts w:ascii="Arial" w:hAnsi="Arial" w:cs="Arial"/>
                <w:color w:val="FFFFFF" w:themeColor="background1"/>
              </w:rPr>
            </w:pPr>
            <w:r w:rsidRPr="62385CB5">
              <w:rPr>
                <w:rFonts w:ascii="Arial" w:hAnsi="Arial" w:cs="Arial"/>
              </w:rPr>
              <w:t>New quarterly measures starting from Q1 2020/21</w:t>
            </w:r>
          </w:p>
        </w:tc>
        <w:tc>
          <w:tcPr>
            <w:tcW w:w="126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05082BE" w14:textId="53DAD0BB" w:rsidR="00975B35" w:rsidRPr="00E12711" w:rsidRDefault="00AF55DE" w:rsidP="62385CB5">
            <w:pPr>
              <w:pStyle w:val="NoSpacing"/>
              <w:jc w:val="center"/>
              <w:rPr>
                <w:rFonts w:ascii="Arial" w:hAnsi="Arial" w:cs="Arial"/>
              </w:rPr>
            </w:pPr>
            <w:r w:rsidRPr="62385CB5">
              <w:rPr>
                <w:rFonts w:ascii="Arial" w:hAnsi="Arial" w:cs="Arial"/>
              </w:rPr>
              <w:t>91%</w:t>
            </w:r>
          </w:p>
        </w:tc>
        <w:tc>
          <w:tcPr>
            <w:tcW w:w="1170" w:type="dxa"/>
            <w:tcBorders>
              <w:top w:val="single" w:sz="4" w:space="0" w:color="auto"/>
              <w:left w:val="single" w:sz="4" w:space="0" w:color="auto"/>
              <w:bottom w:val="single" w:sz="4" w:space="0" w:color="auto"/>
              <w:right w:val="single" w:sz="4" w:space="0" w:color="auto"/>
            </w:tcBorders>
            <w:shd w:val="clear" w:color="auto" w:fill="FF0000"/>
            <w:vAlign w:val="center"/>
          </w:tcPr>
          <w:p w14:paraId="2FDD3EFB" w14:textId="77777777" w:rsidR="62385CB5" w:rsidRDefault="00AF55DE" w:rsidP="78C3123E">
            <w:pPr>
              <w:pStyle w:val="NoSpacing"/>
              <w:jc w:val="center"/>
              <w:rPr>
                <w:rFonts w:ascii="Arial" w:hAnsi="Arial" w:cs="Arial"/>
                <w:color w:val="E7E6E6" w:themeColor="background2"/>
              </w:rPr>
            </w:pPr>
            <w:r w:rsidRPr="78C3123E">
              <w:rPr>
                <w:rFonts w:ascii="Arial" w:hAnsi="Arial" w:cs="Arial"/>
                <w:color w:val="E7E6E6" w:themeColor="background2"/>
              </w:rPr>
              <w:t>81.95%</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9092A40" w14:textId="388162E6" w:rsidR="270F613E" w:rsidRDefault="00AF55DE" w:rsidP="62385CB5">
            <w:pPr>
              <w:pStyle w:val="NoSpacing"/>
              <w:jc w:val="center"/>
              <w:rPr>
                <w:rFonts w:ascii="Arial" w:hAnsi="Arial" w:cs="Arial"/>
              </w:rPr>
            </w:pPr>
            <w:r w:rsidRPr="62385CB5">
              <w:rPr>
                <w:rFonts w:ascii="Arial" w:hAnsi="Arial" w:cs="Arial"/>
              </w:rPr>
              <w:t>97%</w:t>
            </w:r>
          </w:p>
        </w:tc>
        <w:tc>
          <w:tcPr>
            <w:tcW w:w="1575" w:type="dxa"/>
            <w:tcBorders>
              <w:top w:val="single" w:sz="4" w:space="0" w:color="auto"/>
              <w:left w:val="single" w:sz="4" w:space="0" w:color="auto"/>
              <w:bottom w:val="single" w:sz="4" w:space="0" w:color="auto"/>
              <w:right w:val="single" w:sz="4" w:space="0" w:color="auto"/>
            </w:tcBorders>
            <w:vAlign w:val="center"/>
          </w:tcPr>
          <w:p w14:paraId="68AB8743" w14:textId="5A92B350" w:rsidR="00975B35" w:rsidRDefault="00AF55DE" w:rsidP="00122FB0">
            <w:pPr>
              <w:pStyle w:val="NoSpacing"/>
              <w:jc w:val="center"/>
              <w:rPr>
                <w:rFonts w:ascii="Arial" w:hAnsi="Arial" w:cs="Arial"/>
              </w:rPr>
            </w:pPr>
            <w:r w:rsidRPr="62385CB5">
              <w:rPr>
                <w:rFonts w:ascii="Arial" w:hAnsi="Arial" w:cs="Arial"/>
              </w:rPr>
              <w:t>90% within 5 working days</w:t>
            </w:r>
          </w:p>
        </w:tc>
      </w:tr>
      <w:tr w:rsidR="00BB349C" w14:paraId="13DDE286" w14:textId="77777777" w:rsidTr="78C3123E">
        <w:trPr>
          <w:trHeight w:val="474"/>
          <w:jc w:val="center"/>
        </w:trPr>
        <w:tc>
          <w:tcPr>
            <w:tcW w:w="2555" w:type="dxa"/>
            <w:tcBorders>
              <w:top w:val="single" w:sz="4" w:space="0" w:color="auto"/>
              <w:left w:val="single" w:sz="4" w:space="0" w:color="auto"/>
              <w:bottom w:val="single" w:sz="4" w:space="0" w:color="auto"/>
              <w:right w:val="single" w:sz="4" w:space="0" w:color="auto"/>
            </w:tcBorders>
          </w:tcPr>
          <w:p w14:paraId="684BA78E" w14:textId="4B7B5995" w:rsidR="00975B35" w:rsidRPr="00AF11A4" w:rsidRDefault="00AF55DE" w:rsidP="0030579F">
            <w:pPr>
              <w:pStyle w:val="NoSpacing"/>
              <w:rPr>
                <w:rFonts w:ascii="Arial" w:hAnsi="Arial" w:cs="Arial"/>
              </w:rPr>
            </w:pPr>
            <w:r>
              <w:rPr>
                <w:rFonts w:ascii="Arial" w:hAnsi="Arial" w:cs="Arial"/>
                <w:color w:val="000000"/>
              </w:rPr>
              <w:t>Percentage</w:t>
            </w:r>
            <w:r w:rsidRPr="00AF11A4">
              <w:rPr>
                <w:rFonts w:ascii="Arial" w:hAnsi="Arial" w:cs="Arial"/>
                <w:color w:val="000000"/>
              </w:rPr>
              <w:t xml:space="preserve"> of Traffic Management (TM) lamp-out faults repaired within 20 working days</w:t>
            </w:r>
          </w:p>
        </w:tc>
        <w:tc>
          <w:tcPr>
            <w:tcW w:w="1320" w:type="dxa"/>
            <w:tcBorders>
              <w:top w:val="single" w:sz="4" w:space="0" w:color="auto"/>
              <w:left w:val="single" w:sz="4" w:space="0" w:color="auto"/>
              <w:bottom w:val="single" w:sz="4" w:space="0" w:color="auto"/>
              <w:right w:val="single" w:sz="4" w:space="0" w:color="auto"/>
            </w:tcBorders>
          </w:tcPr>
          <w:p w14:paraId="05AD62FD" w14:textId="77777777" w:rsidR="00975B35" w:rsidRDefault="00AF55DE" w:rsidP="0030579F">
            <w:pPr>
              <w:pStyle w:val="NoSpacing"/>
              <w:rPr>
                <w:rFonts w:ascii="Arial" w:hAnsi="Arial" w:cs="Arial"/>
              </w:rPr>
            </w:pPr>
            <w:r w:rsidRPr="00517843">
              <w:rPr>
                <w:rFonts w:ascii="Arial" w:hAnsi="Arial" w:cs="Arial"/>
              </w:rPr>
              <w:t>Quarterly</w:t>
            </w:r>
          </w:p>
          <w:p w14:paraId="3967D857" w14:textId="490D8D49" w:rsidR="00975B35" w:rsidRPr="00517843" w:rsidRDefault="00975B35" w:rsidP="0030579F">
            <w:pPr>
              <w:pStyle w:val="NoSpacing"/>
              <w:rPr>
                <w:rFonts w:ascii="Arial" w:hAnsi="Arial" w:cs="Arial"/>
              </w:rPr>
            </w:pPr>
          </w:p>
        </w:tc>
        <w:tc>
          <w:tcPr>
            <w:tcW w:w="1515" w:type="dxa"/>
            <w:tcBorders>
              <w:top w:val="single" w:sz="4" w:space="0" w:color="auto"/>
              <w:left w:val="single" w:sz="4" w:space="0" w:color="auto"/>
              <w:bottom w:val="single" w:sz="4" w:space="0" w:color="auto"/>
              <w:right w:val="single" w:sz="4" w:space="0" w:color="auto"/>
            </w:tcBorders>
          </w:tcPr>
          <w:p w14:paraId="5FE34EB4" w14:textId="77777777" w:rsidR="00975B35" w:rsidRPr="00517843" w:rsidRDefault="00AF55DE" w:rsidP="0030579F">
            <w:pPr>
              <w:pStyle w:val="NoSpacing"/>
              <w:rPr>
                <w:rFonts w:ascii="Arial" w:hAnsi="Arial" w:cs="Arial"/>
              </w:rPr>
            </w:pPr>
            <w:r w:rsidRPr="00517843">
              <w:rPr>
                <w:rFonts w:ascii="Arial" w:hAnsi="Arial" w:cs="Arial"/>
              </w:rPr>
              <w:t>Growth, Environment &amp; Transport</w:t>
            </w:r>
          </w:p>
        </w:tc>
        <w:tc>
          <w:tcPr>
            <w:tcW w:w="810" w:type="dxa"/>
            <w:tcBorders>
              <w:top w:val="single" w:sz="4" w:space="0" w:color="auto"/>
              <w:left w:val="single" w:sz="4" w:space="0" w:color="auto"/>
              <w:bottom w:val="single" w:sz="4" w:space="0" w:color="auto"/>
              <w:right w:val="single" w:sz="4" w:space="0" w:color="auto"/>
            </w:tcBorders>
          </w:tcPr>
          <w:p w14:paraId="2E4F4C13" w14:textId="77777777" w:rsidR="00975B35" w:rsidRDefault="00975B35" w:rsidP="0030579F">
            <w:pPr>
              <w:pStyle w:val="NoSpacing"/>
              <w:rPr>
                <w:rFonts w:ascii="Arial" w:hAnsi="Arial" w:cs="Arial"/>
              </w:rPr>
            </w:pPr>
          </w:p>
          <w:p w14:paraId="332631F8" w14:textId="77777777" w:rsidR="00975B35" w:rsidRPr="00517843" w:rsidRDefault="00AF55DE" w:rsidP="0030579F">
            <w:pPr>
              <w:pStyle w:val="NoSpacing"/>
              <w:rPr>
                <w:rFonts w:ascii="Arial" w:hAnsi="Arial" w:cs="Arial"/>
              </w:rPr>
            </w:pPr>
            <w:r>
              <w:rPr>
                <w:rFonts w:ascii="Arial" w:hAnsi="Arial" w:cs="Arial"/>
              </w:rPr>
              <w:t>High</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2DD00A" w14:textId="2822EB28" w:rsidR="00975B35" w:rsidRDefault="00AF55DE" w:rsidP="62385CB5">
            <w:pPr>
              <w:pStyle w:val="NoSpacing"/>
              <w:jc w:val="center"/>
              <w:rPr>
                <w:rFonts w:ascii="Arial" w:hAnsi="Arial" w:cs="Arial"/>
              </w:rPr>
            </w:pPr>
            <w:r w:rsidRPr="62385CB5">
              <w:rPr>
                <w:rFonts w:ascii="Arial" w:hAnsi="Arial" w:cs="Arial"/>
              </w:rPr>
              <w:t>New quarterly measures starting from Q1 2020/21</w:t>
            </w:r>
          </w:p>
        </w:tc>
        <w:tc>
          <w:tcPr>
            <w:tcW w:w="126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F92E773" w14:textId="3536E64A" w:rsidR="00975B35" w:rsidRDefault="00AF55DE" w:rsidP="62385CB5">
            <w:pPr>
              <w:pStyle w:val="NoSpacing"/>
              <w:jc w:val="center"/>
              <w:rPr>
                <w:rFonts w:ascii="Arial" w:hAnsi="Arial" w:cs="Arial"/>
              </w:rPr>
            </w:pPr>
            <w:r w:rsidRPr="62385CB5">
              <w:rPr>
                <w:rFonts w:ascii="Arial" w:hAnsi="Arial" w:cs="Arial"/>
              </w:rPr>
              <w:t>89%</w:t>
            </w:r>
          </w:p>
        </w:tc>
        <w:tc>
          <w:tcPr>
            <w:tcW w:w="117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3F0790E" w14:textId="77777777" w:rsidR="62385CB5" w:rsidRDefault="00AF55DE" w:rsidP="62385CB5">
            <w:pPr>
              <w:pStyle w:val="NoSpacing"/>
              <w:jc w:val="center"/>
              <w:rPr>
                <w:rFonts w:ascii="Arial" w:hAnsi="Arial" w:cs="Arial"/>
                <w:color w:val="0070C0"/>
              </w:rPr>
            </w:pPr>
            <w:r w:rsidRPr="62385CB5">
              <w:rPr>
                <w:rFonts w:ascii="Arial" w:hAnsi="Arial" w:cs="Arial"/>
              </w:rPr>
              <w:t>100%</w:t>
            </w:r>
          </w:p>
        </w:tc>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5F83075" w14:textId="44E70579" w:rsidR="51BA8F64" w:rsidRDefault="00AF55DE" w:rsidP="62385CB5">
            <w:pPr>
              <w:pStyle w:val="NoSpacing"/>
              <w:jc w:val="center"/>
              <w:rPr>
                <w:rFonts w:ascii="Arial" w:hAnsi="Arial" w:cs="Arial"/>
              </w:rPr>
            </w:pPr>
            <w:r w:rsidRPr="62385CB5">
              <w:rPr>
                <w:rFonts w:ascii="Arial" w:hAnsi="Arial" w:cs="Arial"/>
              </w:rPr>
              <w:t>100%</w:t>
            </w:r>
          </w:p>
        </w:tc>
        <w:tc>
          <w:tcPr>
            <w:tcW w:w="1575" w:type="dxa"/>
            <w:tcBorders>
              <w:top w:val="single" w:sz="4" w:space="0" w:color="auto"/>
              <w:left w:val="single" w:sz="4" w:space="0" w:color="auto"/>
              <w:bottom w:val="single" w:sz="4" w:space="0" w:color="auto"/>
              <w:right w:val="single" w:sz="4" w:space="0" w:color="auto"/>
            </w:tcBorders>
            <w:vAlign w:val="center"/>
          </w:tcPr>
          <w:p w14:paraId="7C20DD7C" w14:textId="1FFA82CB" w:rsidR="00975B35" w:rsidRPr="00517843" w:rsidRDefault="00AF55DE" w:rsidP="00122FB0">
            <w:pPr>
              <w:pStyle w:val="NoSpacing"/>
              <w:jc w:val="center"/>
              <w:rPr>
                <w:rFonts w:ascii="Arial" w:hAnsi="Arial" w:cs="Arial"/>
              </w:rPr>
            </w:pPr>
            <w:r w:rsidRPr="62385CB5">
              <w:rPr>
                <w:rFonts w:ascii="Arial" w:hAnsi="Arial" w:cs="Arial"/>
              </w:rPr>
              <w:t>90% within 20 working days</w:t>
            </w:r>
          </w:p>
        </w:tc>
      </w:tr>
    </w:tbl>
    <w:p w14:paraId="38291262" w14:textId="77777777" w:rsidR="00D565F6" w:rsidRDefault="00D565F6" w:rsidP="0030579F">
      <w:pPr>
        <w:rPr>
          <w:rFonts w:cs="Arial"/>
          <w:b/>
          <w:sz w:val="22"/>
          <w:szCs w:val="22"/>
        </w:rPr>
      </w:pPr>
    </w:p>
    <w:p w14:paraId="40C9082D" w14:textId="385744A1" w:rsidR="2034F939" w:rsidRDefault="00AF55DE" w:rsidP="62385CB5">
      <w:pPr>
        <w:rPr>
          <w:rFonts w:eastAsia="Arial" w:cs="Arial"/>
          <w:sz w:val="22"/>
          <w:szCs w:val="22"/>
        </w:rPr>
      </w:pPr>
      <w:r w:rsidRPr="62385CB5">
        <w:rPr>
          <w:rFonts w:cs="Arial"/>
          <w:b/>
          <w:bCs/>
          <w:color w:val="auto"/>
          <w:sz w:val="22"/>
          <w:szCs w:val="22"/>
        </w:rPr>
        <w:t>Safety carriageway defects</w:t>
      </w:r>
      <w:r w:rsidR="45C45E29" w:rsidRPr="62385CB5">
        <w:rPr>
          <w:rFonts w:cs="Arial"/>
          <w:b/>
          <w:bCs/>
          <w:color w:val="auto"/>
          <w:sz w:val="22"/>
          <w:szCs w:val="22"/>
        </w:rPr>
        <w:t>.</w:t>
      </w:r>
      <w:r w:rsidR="1095B905" w:rsidRPr="62385CB5">
        <w:rPr>
          <w:rFonts w:cs="Arial"/>
          <w:b/>
          <w:bCs/>
          <w:color w:val="auto"/>
          <w:sz w:val="22"/>
          <w:szCs w:val="22"/>
        </w:rPr>
        <w:t xml:space="preserve"> </w:t>
      </w:r>
      <w:r w:rsidR="650EBBA6" w:rsidRPr="62385CB5">
        <w:rPr>
          <w:rFonts w:eastAsia="Arial" w:cs="Arial"/>
          <w:sz w:val="22"/>
          <w:szCs w:val="22"/>
        </w:rPr>
        <w:t>Q</w:t>
      </w:r>
      <w:r w:rsidR="418FD827" w:rsidRPr="62385CB5">
        <w:rPr>
          <w:rFonts w:eastAsia="Arial" w:cs="Arial"/>
          <w:sz w:val="22"/>
          <w:szCs w:val="22"/>
        </w:rPr>
        <w:t xml:space="preserve">uarter </w:t>
      </w:r>
      <w:r w:rsidR="650EBBA6" w:rsidRPr="62385CB5">
        <w:rPr>
          <w:rFonts w:eastAsia="Arial" w:cs="Arial"/>
          <w:sz w:val="22"/>
          <w:szCs w:val="22"/>
        </w:rPr>
        <w:t>1 saw the winter season extend into April with prolonged cold surface temperatures continuing to increase the generation of potholes. Consequently, the number of reported defects has continued to rise this quarter with an increase of 4</w:t>
      </w:r>
      <w:r w:rsidR="1E750B31" w:rsidRPr="62385CB5">
        <w:rPr>
          <w:rFonts w:eastAsia="Arial" w:cs="Arial"/>
          <w:sz w:val="22"/>
          <w:szCs w:val="22"/>
        </w:rPr>
        <w:t>,</w:t>
      </w:r>
      <w:r w:rsidR="650EBBA6" w:rsidRPr="62385CB5">
        <w:rPr>
          <w:rFonts w:eastAsia="Arial" w:cs="Arial"/>
          <w:sz w:val="22"/>
          <w:szCs w:val="22"/>
        </w:rPr>
        <w:t xml:space="preserve">132 compared to Quarter 1 last year. Additional resources through the Dayworks contract and the Jet Patching contract have been fully utilised to address the increase, however demand has remained high, and the number of defects has been too great in number, and a significant proportion have </w:t>
      </w:r>
      <w:r w:rsidR="7C621103" w:rsidRPr="62385CB5">
        <w:rPr>
          <w:rFonts w:eastAsia="Arial" w:cs="Arial"/>
          <w:sz w:val="22"/>
          <w:szCs w:val="22"/>
        </w:rPr>
        <w:t>been targeted as needing a</w:t>
      </w:r>
      <w:r w:rsidR="650EBBA6" w:rsidRPr="62385CB5">
        <w:rPr>
          <w:rFonts w:eastAsia="Arial" w:cs="Arial"/>
          <w:sz w:val="22"/>
          <w:szCs w:val="22"/>
        </w:rPr>
        <w:t xml:space="preserve"> 10-day response which has made it difficult to repair within the appropriate timescales this month. Category 1 defects, whilst low in number will be fully investigated and targeted in Q</w:t>
      </w:r>
      <w:r w:rsidR="3FB89516" w:rsidRPr="62385CB5">
        <w:rPr>
          <w:rFonts w:eastAsia="Arial" w:cs="Arial"/>
          <w:sz w:val="22"/>
          <w:szCs w:val="22"/>
        </w:rPr>
        <w:t xml:space="preserve">uarter </w:t>
      </w:r>
      <w:r w:rsidR="650EBBA6" w:rsidRPr="62385CB5">
        <w:rPr>
          <w:rFonts w:eastAsia="Arial" w:cs="Arial"/>
          <w:sz w:val="22"/>
          <w:szCs w:val="22"/>
        </w:rPr>
        <w:t>2.</w:t>
      </w:r>
    </w:p>
    <w:p w14:paraId="6E2A23E4" w14:textId="768B522B" w:rsidR="2034F939" w:rsidRDefault="00AF55DE" w:rsidP="62385CB5">
      <w:pPr>
        <w:pStyle w:val="NoSpacing"/>
        <w:jc w:val="both"/>
        <w:rPr>
          <w:rFonts w:ascii="Arial" w:eastAsia="Arial" w:hAnsi="Arial" w:cs="Arial"/>
          <w:sz w:val="24"/>
          <w:szCs w:val="24"/>
        </w:rPr>
      </w:pPr>
      <w:r w:rsidRPr="62385CB5">
        <w:rPr>
          <w:rFonts w:ascii="Arial" w:eastAsia="Arial" w:hAnsi="Arial" w:cs="Arial"/>
          <w:b/>
          <w:bCs/>
        </w:rPr>
        <w:t>Street lighting fault repair</w:t>
      </w:r>
      <w:r w:rsidR="45C45E29" w:rsidRPr="62385CB5">
        <w:rPr>
          <w:rFonts w:ascii="Arial" w:eastAsia="Arial" w:hAnsi="Arial" w:cs="Arial"/>
          <w:b/>
          <w:bCs/>
        </w:rPr>
        <w:t xml:space="preserve">.  </w:t>
      </w:r>
      <w:r w:rsidR="18E9BDA8" w:rsidRPr="62385CB5">
        <w:rPr>
          <w:rFonts w:ascii="Arial" w:eastAsia="Arial" w:hAnsi="Arial" w:cs="Arial"/>
        </w:rPr>
        <w:t xml:space="preserve">The performance for </w:t>
      </w:r>
      <w:r w:rsidR="715F99FD" w:rsidRPr="62385CB5">
        <w:rPr>
          <w:rFonts w:ascii="Arial" w:eastAsia="Arial" w:hAnsi="Arial" w:cs="Arial"/>
        </w:rPr>
        <w:t>Quarter 1</w:t>
      </w:r>
      <w:r w:rsidR="074B5E34" w:rsidRPr="62385CB5">
        <w:rPr>
          <w:rFonts w:ascii="Arial" w:eastAsia="Arial" w:hAnsi="Arial" w:cs="Arial"/>
        </w:rPr>
        <w:t xml:space="preserve">- </w:t>
      </w:r>
      <w:r w:rsidR="715F99FD" w:rsidRPr="62385CB5">
        <w:rPr>
          <w:rFonts w:ascii="Arial" w:eastAsia="Arial" w:hAnsi="Arial" w:cs="Arial"/>
        </w:rPr>
        <w:t xml:space="preserve">2020/21 was adversely affected by COVID19. Although COVID19 is still causing some operational problems </w:t>
      </w:r>
      <w:r w:rsidR="02776172" w:rsidRPr="62385CB5">
        <w:rPr>
          <w:rFonts w:ascii="Arial" w:eastAsia="Arial" w:hAnsi="Arial" w:cs="Arial"/>
        </w:rPr>
        <w:t xml:space="preserve">the </w:t>
      </w:r>
      <w:r w:rsidR="715F99FD" w:rsidRPr="62385CB5">
        <w:rPr>
          <w:rFonts w:ascii="Arial" w:eastAsia="Arial" w:hAnsi="Arial" w:cs="Arial"/>
        </w:rPr>
        <w:t>service ha</w:t>
      </w:r>
      <w:r w:rsidR="35F28BB0" w:rsidRPr="62385CB5">
        <w:rPr>
          <w:rFonts w:ascii="Arial" w:eastAsia="Arial" w:hAnsi="Arial" w:cs="Arial"/>
        </w:rPr>
        <w:t>s</w:t>
      </w:r>
      <w:r w:rsidR="715F99FD" w:rsidRPr="62385CB5">
        <w:rPr>
          <w:rFonts w:ascii="Arial" w:eastAsia="Arial" w:hAnsi="Arial" w:cs="Arial"/>
        </w:rPr>
        <w:t xml:space="preserve"> put new procedures in place which have helped the service to improve the performance and meet its </w:t>
      </w:r>
      <w:r w:rsidR="0765A319" w:rsidRPr="62385CB5">
        <w:rPr>
          <w:rFonts w:ascii="Arial" w:eastAsia="Arial" w:hAnsi="Arial" w:cs="Arial"/>
        </w:rPr>
        <w:t>target in</w:t>
      </w:r>
      <w:r w:rsidR="715F99FD" w:rsidRPr="62385CB5">
        <w:rPr>
          <w:rFonts w:ascii="Arial" w:eastAsia="Arial" w:hAnsi="Arial" w:cs="Arial"/>
        </w:rPr>
        <w:t xml:space="preserve"> Quarter 1 </w:t>
      </w:r>
      <w:r w:rsidR="5782FD1A" w:rsidRPr="62385CB5">
        <w:rPr>
          <w:rFonts w:ascii="Arial" w:eastAsia="Arial" w:hAnsi="Arial" w:cs="Arial"/>
        </w:rPr>
        <w:t>2021/22</w:t>
      </w:r>
      <w:r w:rsidR="715F99FD" w:rsidRPr="62385CB5">
        <w:rPr>
          <w:rFonts w:ascii="Arial" w:eastAsia="Arial" w:hAnsi="Arial" w:cs="Arial"/>
        </w:rPr>
        <w:t>.</w:t>
      </w:r>
    </w:p>
    <w:p w14:paraId="1966B13B" w14:textId="77777777" w:rsidR="0030579F" w:rsidRPr="005E1B76" w:rsidRDefault="0030579F" w:rsidP="0030579F">
      <w:pPr>
        <w:pStyle w:val="NoSpacing"/>
        <w:rPr>
          <w:rFonts w:ascii="Arial" w:hAnsi="Arial" w:cs="Arial"/>
          <w:color w:val="FF0000"/>
        </w:rPr>
      </w:pPr>
    </w:p>
    <w:tbl>
      <w:tblPr>
        <w:tblW w:w="13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1395"/>
        <w:gridCol w:w="1485"/>
        <w:gridCol w:w="780"/>
        <w:gridCol w:w="1068"/>
        <w:gridCol w:w="1545"/>
        <w:gridCol w:w="1995"/>
        <w:gridCol w:w="2103"/>
        <w:gridCol w:w="1594"/>
      </w:tblGrid>
      <w:tr w:rsidR="00BB349C" w14:paraId="5A5A57B7" w14:textId="77777777" w:rsidTr="78C3123E">
        <w:trPr>
          <w:trHeight w:val="474"/>
        </w:trPr>
        <w:tc>
          <w:tcPr>
            <w:tcW w:w="1830" w:type="dxa"/>
            <w:tcBorders>
              <w:top w:val="single" w:sz="4" w:space="0" w:color="auto"/>
              <w:left w:val="single" w:sz="4" w:space="0" w:color="auto"/>
              <w:bottom w:val="single" w:sz="4" w:space="0" w:color="auto"/>
              <w:right w:val="single" w:sz="4" w:space="0" w:color="auto"/>
            </w:tcBorders>
          </w:tcPr>
          <w:p w14:paraId="13A9DBCF" w14:textId="1CB87695" w:rsidR="005F2EB2" w:rsidRPr="005269D0" w:rsidRDefault="00AF55DE" w:rsidP="005F2EB2">
            <w:pPr>
              <w:pStyle w:val="NoSpacing"/>
              <w:rPr>
                <w:rFonts w:ascii="Arial" w:hAnsi="Arial" w:cs="Arial"/>
                <w:b/>
              </w:rPr>
            </w:pPr>
            <w:r w:rsidRPr="0047796E">
              <w:rPr>
                <w:rFonts w:ascii="Arial" w:hAnsi="Arial" w:cs="Arial"/>
                <w:b/>
                <w:sz w:val="20"/>
                <w:szCs w:val="20"/>
              </w:rPr>
              <w:t>Performance Indicator</w:t>
            </w:r>
          </w:p>
        </w:tc>
        <w:tc>
          <w:tcPr>
            <w:tcW w:w="1395" w:type="dxa"/>
            <w:tcBorders>
              <w:top w:val="single" w:sz="4" w:space="0" w:color="auto"/>
              <w:left w:val="single" w:sz="4" w:space="0" w:color="auto"/>
              <w:bottom w:val="single" w:sz="4" w:space="0" w:color="auto"/>
              <w:right w:val="single" w:sz="4" w:space="0" w:color="auto"/>
            </w:tcBorders>
          </w:tcPr>
          <w:p w14:paraId="76625097" w14:textId="6F674227" w:rsidR="005F2EB2" w:rsidRPr="005269D0" w:rsidRDefault="00AF55DE" w:rsidP="005F2EB2">
            <w:pPr>
              <w:pStyle w:val="NoSpacing"/>
              <w:rPr>
                <w:rFonts w:ascii="Arial" w:hAnsi="Arial" w:cs="Arial"/>
                <w:b/>
              </w:rPr>
            </w:pPr>
            <w:r w:rsidRPr="0047796E">
              <w:rPr>
                <w:rFonts w:ascii="Arial" w:hAnsi="Arial" w:cs="Arial"/>
                <w:b/>
                <w:sz w:val="20"/>
                <w:szCs w:val="20"/>
              </w:rPr>
              <w:t>Frequency</w:t>
            </w:r>
          </w:p>
        </w:tc>
        <w:tc>
          <w:tcPr>
            <w:tcW w:w="1485" w:type="dxa"/>
            <w:tcBorders>
              <w:top w:val="single" w:sz="4" w:space="0" w:color="auto"/>
              <w:left w:val="single" w:sz="4" w:space="0" w:color="auto"/>
              <w:bottom w:val="single" w:sz="4" w:space="0" w:color="auto"/>
              <w:right w:val="single" w:sz="4" w:space="0" w:color="auto"/>
            </w:tcBorders>
          </w:tcPr>
          <w:p w14:paraId="34BA9A21" w14:textId="2ABA0756" w:rsidR="005F2EB2" w:rsidRPr="005269D0" w:rsidRDefault="00AF55DE" w:rsidP="005F2EB2">
            <w:pPr>
              <w:pStyle w:val="NoSpacing"/>
              <w:rPr>
                <w:rFonts w:ascii="Arial" w:hAnsi="Arial" w:cs="Arial"/>
                <w:b/>
              </w:rPr>
            </w:pPr>
            <w:r w:rsidRPr="0047796E">
              <w:rPr>
                <w:rFonts w:ascii="Arial" w:hAnsi="Arial" w:cs="Arial"/>
                <w:b/>
                <w:sz w:val="20"/>
                <w:szCs w:val="20"/>
              </w:rPr>
              <w:t xml:space="preserve">Directorate </w:t>
            </w:r>
          </w:p>
        </w:tc>
        <w:tc>
          <w:tcPr>
            <w:tcW w:w="780" w:type="dxa"/>
            <w:tcBorders>
              <w:top w:val="single" w:sz="4" w:space="0" w:color="auto"/>
              <w:left w:val="single" w:sz="4" w:space="0" w:color="auto"/>
              <w:bottom w:val="single" w:sz="4" w:space="0" w:color="auto"/>
              <w:right w:val="single" w:sz="4" w:space="0" w:color="auto"/>
            </w:tcBorders>
          </w:tcPr>
          <w:p w14:paraId="75B7C5C4" w14:textId="5D81EF8A" w:rsidR="005F2EB2" w:rsidRPr="005269D0" w:rsidRDefault="00AF55DE" w:rsidP="005F2EB2">
            <w:pPr>
              <w:pStyle w:val="NoSpacing"/>
              <w:rPr>
                <w:rFonts w:ascii="Arial" w:hAnsi="Arial" w:cs="Arial"/>
                <w:b/>
              </w:rPr>
            </w:pPr>
            <w:r w:rsidRPr="0047796E">
              <w:rPr>
                <w:rFonts w:ascii="Arial" w:hAnsi="Arial" w:cs="Arial"/>
                <w:b/>
                <w:sz w:val="20"/>
                <w:szCs w:val="20"/>
              </w:rPr>
              <w:t>Good is</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5891F4BC" w14:textId="1A353062" w:rsidR="005F2EB2" w:rsidRPr="005269D0" w:rsidRDefault="00AF55DE" w:rsidP="005F2EB2">
            <w:pPr>
              <w:pStyle w:val="NoSpacing"/>
              <w:rPr>
                <w:rFonts w:ascii="Arial" w:hAnsi="Arial" w:cs="Arial"/>
                <w:b/>
              </w:rPr>
            </w:pPr>
            <w:r w:rsidRPr="00300F36">
              <w:rPr>
                <w:rFonts w:ascii="Arial" w:hAnsi="Arial" w:cs="Arial"/>
                <w:b/>
                <w:sz w:val="20"/>
                <w:szCs w:val="20"/>
              </w:rPr>
              <w:t>2019/20 Outturn</w:t>
            </w:r>
          </w:p>
        </w:tc>
        <w:tc>
          <w:tcPr>
            <w:tcW w:w="1545" w:type="dxa"/>
            <w:tcBorders>
              <w:top w:val="single" w:sz="4" w:space="0" w:color="auto"/>
              <w:left w:val="single" w:sz="4" w:space="0" w:color="auto"/>
              <w:bottom w:val="single" w:sz="4" w:space="0" w:color="auto"/>
              <w:right w:val="single" w:sz="4" w:space="0" w:color="auto"/>
            </w:tcBorders>
          </w:tcPr>
          <w:p w14:paraId="6BCFC1E3" w14:textId="7D1CA7E9" w:rsidR="005F2EB2" w:rsidRPr="005269D0" w:rsidRDefault="00AF55DE" w:rsidP="62385CB5">
            <w:pPr>
              <w:pStyle w:val="NoSpacing"/>
              <w:rPr>
                <w:rFonts w:ascii="Arial" w:hAnsi="Arial" w:cs="Arial"/>
                <w:b/>
                <w:bCs/>
                <w:sz w:val="20"/>
                <w:szCs w:val="20"/>
              </w:rPr>
            </w:pPr>
            <w:r w:rsidRPr="62385CB5">
              <w:rPr>
                <w:rFonts w:ascii="Arial" w:hAnsi="Arial" w:cs="Arial"/>
                <w:b/>
                <w:bCs/>
                <w:sz w:val="20"/>
                <w:szCs w:val="20"/>
              </w:rPr>
              <w:t xml:space="preserve">2020/21 </w:t>
            </w:r>
            <w:r w:rsidR="319C4A3D" w:rsidRPr="62385CB5">
              <w:rPr>
                <w:rFonts w:ascii="Arial" w:hAnsi="Arial" w:cs="Arial"/>
                <w:b/>
                <w:bCs/>
                <w:sz w:val="20"/>
                <w:szCs w:val="20"/>
              </w:rPr>
              <w:t>Outturn</w:t>
            </w:r>
          </w:p>
        </w:tc>
        <w:tc>
          <w:tcPr>
            <w:tcW w:w="1995" w:type="dxa"/>
            <w:tcBorders>
              <w:top w:val="single" w:sz="4" w:space="0" w:color="auto"/>
              <w:left w:val="single" w:sz="4" w:space="0" w:color="auto"/>
              <w:bottom w:val="single" w:sz="4" w:space="0" w:color="auto"/>
              <w:right w:val="single" w:sz="4" w:space="0" w:color="auto"/>
            </w:tcBorders>
          </w:tcPr>
          <w:p w14:paraId="246EE749" w14:textId="2C2CA058" w:rsidR="62385CB5" w:rsidRDefault="00AF55DE" w:rsidP="62385CB5">
            <w:pPr>
              <w:pStyle w:val="NoSpacing"/>
              <w:rPr>
                <w:rFonts w:ascii="Arial" w:hAnsi="Arial" w:cs="Arial"/>
                <w:b/>
                <w:bCs/>
                <w:sz w:val="20"/>
                <w:szCs w:val="20"/>
              </w:rPr>
            </w:pPr>
            <w:r w:rsidRPr="62385CB5">
              <w:rPr>
                <w:rFonts w:ascii="Arial" w:hAnsi="Arial" w:cs="Arial"/>
                <w:b/>
                <w:bCs/>
                <w:sz w:val="20"/>
                <w:szCs w:val="20"/>
              </w:rPr>
              <w:t>2020/21 Quarter 1 (April –June)</w:t>
            </w:r>
          </w:p>
        </w:tc>
        <w:tc>
          <w:tcPr>
            <w:tcW w:w="2103" w:type="dxa"/>
            <w:tcBorders>
              <w:top w:val="single" w:sz="4" w:space="0" w:color="auto"/>
              <w:left w:val="single" w:sz="4" w:space="0" w:color="auto"/>
              <w:bottom w:val="single" w:sz="4" w:space="0" w:color="auto"/>
              <w:right w:val="single" w:sz="4" w:space="0" w:color="auto"/>
            </w:tcBorders>
            <w:shd w:val="clear" w:color="auto" w:fill="auto"/>
          </w:tcPr>
          <w:p w14:paraId="3181E76B" w14:textId="3EAF3858" w:rsidR="005F2EB2" w:rsidRPr="005269D0" w:rsidRDefault="00AF55DE" w:rsidP="62385CB5">
            <w:pPr>
              <w:pStyle w:val="NoSpacing"/>
              <w:rPr>
                <w:rFonts w:ascii="Arial" w:hAnsi="Arial" w:cs="Arial"/>
                <w:b/>
                <w:bCs/>
                <w:sz w:val="20"/>
                <w:szCs w:val="20"/>
              </w:rPr>
            </w:pPr>
            <w:r w:rsidRPr="62385CB5">
              <w:rPr>
                <w:rFonts w:ascii="Arial" w:hAnsi="Arial" w:cs="Arial"/>
                <w:b/>
                <w:bCs/>
                <w:sz w:val="20"/>
                <w:szCs w:val="20"/>
              </w:rPr>
              <w:t>2021/22</w:t>
            </w:r>
            <w:r w:rsidR="59D5E9BA" w:rsidRPr="62385CB5">
              <w:rPr>
                <w:rFonts w:ascii="Arial" w:hAnsi="Arial" w:cs="Arial"/>
                <w:b/>
                <w:bCs/>
                <w:sz w:val="20"/>
                <w:szCs w:val="20"/>
              </w:rPr>
              <w:t xml:space="preserve"> </w:t>
            </w:r>
            <w:r w:rsidRPr="62385CB5">
              <w:rPr>
                <w:rFonts w:ascii="Arial" w:hAnsi="Arial" w:cs="Arial"/>
                <w:b/>
                <w:bCs/>
                <w:sz w:val="20"/>
                <w:szCs w:val="20"/>
              </w:rPr>
              <w:t>Quarter 1</w:t>
            </w:r>
            <w:r w:rsidR="0C954EE0" w:rsidRPr="62385CB5">
              <w:rPr>
                <w:rFonts w:ascii="Arial" w:hAnsi="Arial" w:cs="Arial"/>
                <w:b/>
                <w:bCs/>
                <w:sz w:val="20"/>
                <w:szCs w:val="20"/>
              </w:rPr>
              <w:t xml:space="preserve"> </w:t>
            </w:r>
            <w:r w:rsidRPr="62385CB5">
              <w:rPr>
                <w:rFonts w:ascii="Arial" w:hAnsi="Arial" w:cs="Arial"/>
                <w:b/>
                <w:bCs/>
                <w:sz w:val="20"/>
                <w:szCs w:val="20"/>
              </w:rPr>
              <w:t>(April-June)</w:t>
            </w:r>
          </w:p>
        </w:tc>
        <w:tc>
          <w:tcPr>
            <w:tcW w:w="1594" w:type="dxa"/>
            <w:tcBorders>
              <w:top w:val="single" w:sz="4" w:space="0" w:color="auto"/>
              <w:left w:val="single" w:sz="4" w:space="0" w:color="auto"/>
              <w:bottom w:val="single" w:sz="4" w:space="0" w:color="auto"/>
              <w:right w:val="single" w:sz="4" w:space="0" w:color="auto"/>
            </w:tcBorders>
          </w:tcPr>
          <w:p w14:paraId="5F97B728" w14:textId="07D8671B" w:rsidR="005F2EB2" w:rsidRPr="005269D0" w:rsidRDefault="00AF55DE" w:rsidP="62385CB5">
            <w:pPr>
              <w:pStyle w:val="NoSpacing"/>
              <w:jc w:val="center"/>
              <w:rPr>
                <w:rFonts w:ascii="Arial" w:hAnsi="Arial" w:cs="Arial"/>
                <w:b/>
                <w:bCs/>
              </w:rPr>
            </w:pPr>
            <w:r w:rsidRPr="62385CB5">
              <w:rPr>
                <w:rFonts w:ascii="Arial" w:hAnsi="Arial" w:cs="Arial"/>
                <w:b/>
                <w:bCs/>
                <w:sz w:val="20"/>
                <w:szCs w:val="20"/>
              </w:rPr>
              <w:t>202</w:t>
            </w:r>
            <w:r w:rsidR="4D8195DC" w:rsidRPr="62385CB5">
              <w:rPr>
                <w:rFonts w:ascii="Arial" w:hAnsi="Arial" w:cs="Arial"/>
                <w:b/>
                <w:bCs/>
                <w:sz w:val="20"/>
                <w:szCs w:val="20"/>
              </w:rPr>
              <w:t>1</w:t>
            </w:r>
            <w:r w:rsidRPr="62385CB5">
              <w:rPr>
                <w:rFonts w:ascii="Arial" w:hAnsi="Arial" w:cs="Arial"/>
                <w:b/>
                <w:bCs/>
                <w:sz w:val="20"/>
                <w:szCs w:val="20"/>
              </w:rPr>
              <w:t>/2</w:t>
            </w:r>
            <w:r w:rsidR="6F7059ED" w:rsidRPr="62385CB5">
              <w:rPr>
                <w:rFonts w:ascii="Arial" w:hAnsi="Arial" w:cs="Arial"/>
                <w:b/>
                <w:bCs/>
                <w:sz w:val="20"/>
                <w:szCs w:val="20"/>
              </w:rPr>
              <w:t>2</w:t>
            </w:r>
            <w:r w:rsidRPr="62385CB5">
              <w:rPr>
                <w:rFonts w:ascii="Arial" w:hAnsi="Arial" w:cs="Arial"/>
                <w:b/>
                <w:bCs/>
                <w:sz w:val="20"/>
                <w:szCs w:val="20"/>
              </w:rPr>
              <w:t xml:space="preserve"> Target</w:t>
            </w:r>
          </w:p>
        </w:tc>
      </w:tr>
      <w:tr w:rsidR="00BB349C" w14:paraId="6BCA5D09" w14:textId="77777777" w:rsidTr="78C3123E">
        <w:trPr>
          <w:trHeight w:val="296"/>
        </w:trPr>
        <w:tc>
          <w:tcPr>
            <w:tcW w:w="1830" w:type="dxa"/>
            <w:tcBorders>
              <w:top w:val="single" w:sz="4" w:space="0" w:color="auto"/>
              <w:left w:val="single" w:sz="4" w:space="0" w:color="auto"/>
              <w:bottom w:val="single" w:sz="4" w:space="0" w:color="auto"/>
              <w:right w:val="single" w:sz="4" w:space="0" w:color="auto"/>
            </w:tcBorders>
            <w:hideMark/>
          </w:tcPr>
          <w:p w14:paraId="56E3EDAE" w14:textId="4A08FAA9" w:rsidR="000507C1" w:rsidRPr="005269D0" w:rsidRDefault="00AF55DE" w:rsidP="005669BE">
            <w:pPr>
              <w:pStyle w:val="NoSpacing"/>
              <w:jc w:val="both"/>
              <w:rPr>
                <w:rFonts w:ascii="Arial" w:hAnsi="Arial" w:cs="Arial"/>
              </w:rPr>
            </w:pPr>
            <w:bookmarkStart w:id="0" w:name="_Hlk73689391"/>
            <w:r w:rsidRPr="005269D0">
              <w:rPr>
                <w:rFonts w:ascii="Arial" w:hAnsi="Arial" w:cs="Arial"/>
              </w:rPr>
              <w:t xml:space="preserve">Percentage of recycling, reuse and </w:t>
            </w:r>
            <w:r w:rsidRPr="005269D0">
              <w:rPr>
                <w:rFonts w:ascii="Arial" w:hAnsi="Arial" w:cs="Arial"/>
              </w:rPr>
              <w:t>composted</w:t>
            </w:r>
            <w:bookmarkEnd w:id="0"/>
          </w:p>
        </w:tc>
        <w:tc>
          <w:tcPr>
            <w:tcW w:w="1395" w:type="dxa"/>
            <w:tcBorders>
              <w:top w:val="single" w:sz="4" w:space="0" w:color="auto"/>
              <w:left w:val="single" w:sz="4" w:space="0" w:color="auto"/>
              <w:bottom w:val="single" w:sz="4" w:space="0" w:color="auto"/>
              <w:right w:val="single" w:sz="4" w:space="0" w:color="auto"/>
            </w:tcBorders>
            <w:hideMark/>
          </w:tcPr>
          <w:p w14:paraId="01222320" w14:textId="77777777" w:rsidR="000507C1" w:rsidRPr="005269D0" w:rsidRDefault="000507C1" w:rsidP="0030579F">
            <w:pPr>
              <w:pStyle w:val="NoSpacing"/>
              <w:rPr>
                <w:rFonts w:ascii="Arial" w:hAnsi="Arial" w:cs="Arial"/>
              </w:rPr>
            </w:pPr>
          </w:p>
          <w:p w14:paraId="15AA4038" w14:textId="77777777" w:rsidR="000507C1" w:rsidRPr="005269D0" w:rsidRDefault="00AF55DE" w:rsidP="0030579F">
            <w:pPr>
              <w:pStyle w:val="NoSpacing"/>
              <w:rPr>
                <w:rFonts w:ascii="Arial" w:hAnsi="Arial" w:cs="Arial"/>
                <w:i/>
              </w:rPr>
            </w:pPr>
            <w:r w:rsidRPr="005269D0">
              <w:rPr>
                <w:rFonts w:ascii="Arial" w:hAnsi="Arial" w:cs="Arial"/>
              </w:rPr>
              <w:t>Quarterly</w:t>
            </w:r>
          </w:p>
        </w:tc>
        <w:tc>
          <w:tcPr>
            <w:tcW w:w="1485" w:type="dxa"/>
            <w:tcBorders>
              <w:top w:val="single" w:sz="4" w:space="0" w:color="auto"/>
              <w:left w:val="single" w:sz="4" w:space="0" w:color="auto"/>
              <w:bottom w:val="single" w:sz="4" w:space="0" w:color="auto"/>
              <w:right w:val="single" w:sz="4" w:space="0" w:color="auto"/>
            </w:tcBorders>
          </w:tcPr>
          <w:p w14:paraId="3F6E63A9" w14:textId="77777777" w:rsidR="000507C1" w:rsidRPr="005269D0" w:rsidRDefault="00AF55DE" w:rsidP="0030579F">
            <w:pPr>
              <w:pStyle w:val="NoSpacing"/>
              <w:rPr>
                <w:rFonts w:ascii="Arial" w:hAnsi="Arial" w:cs="Arial"/>
              </w:rPr>
            </w:pPr>
            <w:r w:rsidRPr="005269D0">
              <w:rPr>
                <w:rFonts w:ascii="Arial" w:hAnsi="Arial" w:cs="Arial"/>
              </w:rPr>
              <w:t>Growth, Environment &amp; Transport</w:t>
            </w:r>
          </w:p>
        </w:tc>
        <w:tc>
          <w:tcPr>
            <w:tcW w:w="780" w:type="dxa"/>
            <w:tcBorders>
              <w:top w:val="single" w:sz="4" w:space="0" w:color="auto"/>
              <w:left w:val="single" w:sz="4" w:space="0" w:color="auto"/>
              <w:bottom w:val="single" w:sz="4" w:space="0" w:color="auto"/>
              <w:right w:val="single" w:sz="4" w:space="0" w:color="auto"/>
            </w:tcBorders>
          </w:tcPr>
          <w:p w14:paraId="08F21C08" w14:textId="77777777" w:rsidR="000507C1" w:rsidRPr="005269D0" w:rsidRDefault="000507C1" w:rsidP="0030579F">
            <w:pPr>
              <w:pStyle w:val="NoSpacing"/>
              <w:rPr>
                <w:rFonts w:ascii="Arial" w:hAnsi="Arial" w:cs="Arial"/>
              </w:rPr>
            </w:pPr>
          </w:p>
          <w:p w14:paraId="4B2A2198" w14:textId="77777777" w:rsidR="000507C1" w:rsidRPr="005269D0" w:rsidRDefault="00AF55DE" w:rsidP="0030579F">
            <w:pPr>
              <w:pStyle w:val="NoSpacing"/>
              <w:rPr>
                <w:rFonts w:ascii="Arial" w:hAnsi="Arial" w:cs="Arial"/>
              </w:rPr>
            </w:pPr>
            <w:r w:rsidRPr="005269D0">
              <w:rPr>
                <w:rFonts w:ascii="Arial" w:hAnsi="Arial" w:cs="Arial"/>
              </w:rPr>
              <w:t>High</w:t>
            </w:r>
          </w:p>
        </w:tc>
        <w:tc>
          <w:tcPr>
            <w:tcW w:w="106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C634D9F" w14:textId="77777777" w:rsidR="000507C1" w:rsidRPr="005269D0" w:rsidRDefault="00AF55DE" w:rsidP="0030579F">
            <w:pPr>
              <w:pStyle w:val="NoSpacing"/>
              <w:jc w:val="center"/>
              <w:rPr>
                <w:rFonts w:ascii="Arial" w:hAnsi="Arial" w:cs="Arial"/>
              </w:rPr>
            </w:pPr>
            <w:r w:rsidRPr="62385CB5">
              <w:rPr>
                <w:rFonts w:ascii="Arial" w:hAnsi="Arial" w:cs="Arial"/>
              </w:rPr>
              <w:t>45%</w:t>
            </w:r>
          </w:p>
        </w:tc>
        <w:tc>
          <w:tcPr>
            <w:tcW w:w="154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8A5C0AE" w14:textId="4111401A" w:rsidR="000507C1" w:rsidRPr="005269D0" w:rsidRDefault="00AF55DE" w:rsidP="0030579F">
            <w:pPr>
              <w:pStyle w:val="NoSpacing"/>
              <w:jc w:val="center"/>
              <w:rPr>
                <w:rFonts w:ascii="Arial" w:hAnsi="Arial" w:cs="Arial"/>
              </w:rPr>
            </w:pPr>
            <w:r w:rsidRPr="62385CB5">
              <w:rPr>
                <w:rFonts w:ascii="Arial" w:hAnsi="Arial" w:cs="Arial"/>
              </w:rPr>
              <w:t>4</w:t>
            </w:r>
            <w:r w:rsidR="0306585F" w:rsidRPr="62385CB5">
              <w:rPr>
                <w:rFonts w:ascii="Arial" w:hAnsi="Arial" w:cs="Arial"/>
              </w:rPr>
              <w:t>4.4</w:t>
            </w:r>
            <w:r w:rsidRPr="62385CB5">
              <w:rPr>
                <w:rFonts w:ascii="Arial" w:hAnsi="Arial" w:cs="Arial"/>
              </w:rPr>
              <w:t>%</w:t>
            </w:r>
          </w:p>
        </w:tc>
        <w:tc>
          <w:tcPr>
            <w:tcW w:w="199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57D105B" w14:textId="77777777" w:rsidR="62385CB5" w:rsidRDefault="00AF55DE" w:rsidP="62385CB5">
            <w:pPr>
              <w:pStyle w:val="NoSpacing"/>
              <w:jc w:val="center"/>
              <w:rPr>
                <w:rFonts w:ascii="Arial" w:hAnsi="Arial" w:cs="Arial"/>
              </w:rPr>
            </w:pPr>
            <w:r w:rsidRPr="62385CB5">
              <w:rPr>
                <w:rFonts w:ascii="Arial" w:hAnsi="Arial" w:cs="Arial"/>
              </w:rPr>
              <w:t>42%</w:t>
            </w:r>
          </w:p>
        </w:tc>
        <w:tc>
          <w:tcPr>
            <w:tcW w:w="210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284DF9D" w14:textId="0283A24D" w:rsidR="000507C1" w:rsidRPr="005269D0" w:rsidRDefault="00AF55DE" w:rsidP="62385CB5">
            <w:pPr>
              <w:pStyle w:val="NoSpacing"/>
              <w:jc w:val="center"/>
              <w:rPr>
                <w:rFonts w:ascii="Arial" w:hAnsi="Arial" w:cs="Arial"/>
              </w:rPr>
            </w:pPr>
            <w:r w:rsidRPr="62385CB5">
              <w:rPr>
                <w:rFonts w:ascii="Arial" w:hAnsi="Arial" w:cs="Arial"/>
              </w:rPr>
              <w:t>45%</w:t>
            </w:r>
            <w:r w:rsidR="27834C99" w:rsidRPr="62385CB5">
              <w:rPr>
                <w:rFonts w:ascii="Arial" w:hAnsi="Arial" w:cs="Arial"/>
              </w:rPr>
              <w:t>*</w:t>
            </w:r>
          </w:p>
        </w:tc>
        <w:tc>
          <w:tcPr>
            <w:tcW w:w="1594" w:type="dxa"/>
            <w:tcBorders>
              <w:top w:val="single" w:sz="4" w:space="0" w:color="auto"/>
              <w:left w:val="single" w:sz="4" w:space="0" w:color="auto"/>
              <w:bottom w:val="single" w:sz="4" w:space="0" w:color="auto"/>
              <w:right w:val="single" w:sz="4" w:space="0" w:color="auto"/>
            </w:tcBorders>
          </w:tcPr>
          <w:p w14:paraId="5E833D0F" w14:textId="65A2B25B" w:rsidR="000507C1" w:rsidRPr="005269D0" w:rsidRDefault="00AF55DE" w:rsidP="00122FB0">
            <w:pPr>
              <w:pStyle w:val="NoSpacing"/>
              <w:jc w:val="center"/>
              <w:rPr>
                <w:rFonts w:ascii="Arial" w:hAnsi="Arial" w:cs="Arial"/>
              </w:rPr>
            </w:pPr>
            <w:r w:rsidRPr="005269D0">
              <w:rPr>
                <w:rFonts w:ascii="Arial" w:hAnsi="Arial" w:cs="Arial"/>
              </w:rPr>
              <w:t>50% (current national target)</w:t>
            </w:r>
          </w:p>
        </w:tc>
      </w:tr>
    </w:tbl>
    <w:p w14:paraId="79FAE604" w14:textId="5D6DADD6" w:rsidR="0030579F" w:rsidRDefault="00AF55DE" w:rsidP="62385CB5">
      <w:pPr>
        <w:pStyle w:val="NoSpacing"/>
        <w:jc w:val="both"/>
        <w:rPr>
          <w:i/>
          <w:iCs/>
          <w:sz w:val="18"/>
          <w:szCs w:val="18"/>
        </w:rPr>
      </w:pPr>
      <w:r w:rsidRPr="62385CB5">
        <w:rPr>
          <w:rFonts w:ascii="Arial" w:eastAsia="Arial" w:hAnsi="Arial" w:cs="Arial"/>
          <w:i/>
          <w:iCs/>
          <w:sz w:val="18"/>
          <w:szCs w:val="18"/>
        </w:rPr>
        <w:t>*</w:t>
      </w:r>
      <w:r w:rsidR="2E0F6467" w:rsidRPr="62385CB5">
        <w:rPr>
          <w:rFonts w:ascii="Arial" w:eastAsia="Arial" w:hAnsi="Arial" w:cs="Arial"/>
          <w:i/>
          <w:iCs/>
          <w:sz w:val="18"/>
          <w:szCs w:val="18"/>
        </w:rPr>
        <w:t>The recycling % reported each quarter is based on forecast for full year</w:t>
      </w:r>
    </w:p>
    <w:p w14:paraId="6E921FAB" w14:textId="7155C72B" w:rsidR="62385CB5" w:rsidRDefault="62385CB5" w:rsidP="62385CB5">
      <w:pPr>
        <w:pStyle w:val="NoSpacing"/>
        <w:jc w:val="both"/>
        <w:rPr>
          <w:i/>
          <w:iCs/>
          <w:sz w:val="18"/>
          <w:szCs w:val="18"/>
        </w:rPr>
      </w:pPr>
    </w:p>
    <w:p w14:paraId="7C11D2C4" w14:textId="5A4AD7EA" w:rsidR="439266EA" w:rsidRDefault="00AF55DE" w:rsidP="62385CB5">
      <w:pPr>
        <w:pStyle w:val="NoSpacing"/>
        <w:jc w:val="both"/>
        <w:rPr>
          <w:rFonts w:ascii="Arial" w:eastAsia="Arial" w:hAnsi="Arial" w:cs="Arial"/>
        </w:rPr>
      </w:pPr>
      <w:r w:rsidRPr="78C3123E">
        <w:rPr>
          <w:rFonts w:ascii="Arial" w:hAnsi="Arial" w:cs="Arial"/>
          <w:b/>
          <w:bCs/>
        </w:rPr>
        <w:t>Recycling</w:t>
      </w:r>
      <w:r w:rsidR="27485962" w:rsidRPr="78C3123E">
        <w:rPr>
          <w:rFonts w:ascii="Arial" w:hAnsi="Arial" w:cs="Arial"/>
          <w:b/>
          <w:bCs/>
        </w:rPr>
        <w:t xml:space="preserve">- </w:t>
      </w:r>
      <w:r w:rsidR="27485962" w:rsidRPr="78C3123E">
        <w:rPr>
          <w:rFonts w:ascii="Arial" w:eastAsia="Arial" w:hAnsi="Arial" w:cs="Arial"/>
        </w:rPr>
        <w:t>Recycling collected as a percentage of overall waste arising for the first three months of the year remain similar to the tonnes reported pre-covid in 2019/20, with large increases being reported across recycling centres due to covid restriction</w:t>
      </w:r>
      <w:r w:rsidR="574B455C" w:rsidRPr="78C3123E">
        <w:rPr>
          <w:rFonts w:ascii="Arial" w:eastAsia="Arial" w:hAnsi="Arial" w:cs="Arial"/>
        </w:rPr>
        <w:t>s</w:t>
      </w:r>
      <w:r w:rsidR="27485962" w:rsidRPr="78C3123E">
        <w:rPr>
          <w:rFonts w:ascii="Arial" w:eastAsia="Arial" w:hAnsi="Arial" w:cs="Arial"/>
        </w:rPr>
        <w:t xml:space="preserve"> easing. Doorstep collected recyclable material has seen a small reduction in tonnes over the first three months compared to the same position in 20/21, which is expected as residents start </w:t>
      </w:r>
      <w:r w:rsidR="58A90ACC" w:rsidRPr="78C3123E">
        <w:rPr>
          <w:rFonts w:ascii="Arial" w:eastAsia="Arial" w:hAnsi="Arial" w:cs="Arial"/>
        </w:rPr>
        <w:t>returning</w:t>
      </w:r>
      <w:r w:rsidR="27485962" w:rsidRPr="78C3123E">
        <w:rPr>
          <w:rFonts w:ascii="Arial" w:eastAsia="Arial" w:hAnsi="Arial" w:cs="Arial"/>
        </w:rPr>
        <w:t xml:space="preserve"> to the office rather than continuing to work from home. A similar pattern is emerging with doorstep collected residual material to</w:t>
      </w:r>
      <w:r w:rsidR="0E5A7A07" w:rsidRPr="78C3123E">
        <w:rPr>
          <w:rFonts w:ascii="Arial" w:eastAsia="Arial" w:hAnsi="Arial" w:cs="Arial"/>
        </w:rPr>
        <w:t>o</w:t>
      </w:r>
      <w:r w:rsidR="27485962" w:rsidRPr="78C3123E">
        <w:rPr>
          <w:rFonts w:ascii="Arial" w:eastAsia="Arial" w:hAnsi="Arial" w:cs="Arial"/>
        </w:rPr>
        <w:t xml:space="preserve">, with </w:t>
      </w:r>
      <w:r w:rsidR="0B97A94B" w:rsidRPr="78C3123E">
        <w:rPr>
          <w:rFonts w:ascii="Arial" w:eastAsia="Arial" w:hAnsi="Arial" w:cs="Arial"/>
        </w:rPr>
        <w:t xml:space="preserve">a </w:t>
      </w:r>
      <w:r w:rsidR="27485962" w:rsidRPr="78C3123E">
        <w:rPr>
          <w:rFonts w:ascii="Arial" w:eastAsia="Arial" w:hAnsi="Arial" w:cs="Arial"/>
        </w:rPr>
        <w:t>slight reduction in tonnes being reported.</w:t>
      </w:r>
    </w:p>
    <w:p w14:paraId="535F8ED5" w14:textId="6DBD790A" w:rsidR="689068F8" w:rsidRDefault="00AF55DE" w:rsidP="62385CB5">
      <w:pPr>
        <w:rPr>
          <w:rFonts w:eastAsia="Arial" w:cs="Arial"/>
          <w:color w:val="auto"/>
          <w:sz w:val="22"/>
          <w:szCs w:val="22"/>
        </w:rPr>
      </w:pPr>
      <w:r w:rsidRPr="62385CB5">
        <w:rPr>
          <w:rFonts w:eastAsia="Arial" w:cs="Arial"/>
          <w:color w:val="auto"/>
          <w:sz w:val="22"/>
          <w:szCs w:val="22"/>
        </w:rPr>
        <w:t xml:space="preserve">In terms of the processing of residual waste at Thornton and Leyland Waste Treatment Facilities, the plants remain operating at full capacity, with anticipated output tonnes </w:t>
      </w:r>
      <w:r w:rsidRPr="62385CB5">
        <w:rPr>
          <w:rFonts w:eastAsia="Arial" w:cs="Arial"/>
          <w:color w:val="auto"/>
          <w:sz w:val="22"/>
          <w:szCs w:val="22"/>
        </w:rPr>
        <w:t>consistent with last year.</w:t>
      </w:r>
    </w:p>
    <w:p w14:paraId="0A6B4F7A" w14:textId="17B84587" w:rsidR="62385CB5" w:rsidRDefault="62385CB5" w:rsidP="62385CB5">
      <w:pPr>
        <w:rPr>
          <w:color w:val="000000" w:themeColor="text1"/>
        </w:rPr>
      </w:pPr>
    </w:p>
    <w:p w14:paraId="3B761F14" w14:textId="6B00B5C2" w:rsidR="62385CB5" w:rsidRDefault="62385CB5" w:rsidP="62385CB5">
      <w:pPr>
        <w:rPr>
          <w:color w:val="000000" w:themeColor="text1"/>
        </w:rPr>
      </w:pPr>
    </w:p>
    <w:p w14:paraId="51F31E19" w14:textId="05E175FB" w:rsidR="62385CB5" w:rsidRDefault="62385CB5" w:rsidP="62385CB5">
      <w:pPr>
        <w:rPr>
          <w:color w:val="000000" w:themeColor="text1"/>
        </w:rPr>
      </w:pPr>
    </w:p>
    <w:p w14:paraId="47636DB5" w14:textId="78257036" w:rsidR="62385CB5" w:rsidRDefault="62385CB5" w:rsidP="62385CB5">
      <w:pPr>
        <w:rPr>
          <w:color w:val="000000" w:themeColor="text1"/>
        </w:rPr>
      </w:pPr>
    </w:p>
    <w:p w14:paraId="4271253E" w14:textId="5D7B1DA4" w:rsidR="62385CB5" w:rsidRDefault="62385CB5" w:rsidP="62385CB5">
      <w:pPr>
        <w:rPr>
          <w:color w:val="000000" w:themeColor="text1"/>
        </w:rPr>
      </w:pPr>
    </w:p>
    <w:p w14:paraId="7DCE1F52" w14:textId="1296E727" w:rsidR="62385CB5" w:rsidRDefault="62385CB5" w:rsidP="62385CB5">
      <w:pPr>
        <w:rPr>
          <w:color w:val="000000" w:themeColor="text1"/>
        </w:rPr>
      </w:pPr>
    </w:p>
    <w:tbl>
      <w:tblPr>
        <w:tblpPr w:leftFromText="180" w:rightFromText="180" w:vertAnchor="text" w:horzAnchor="margin" w:tblpY="83"/>
        <w:tblW w:w="13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5"/>
        <w:gridCol w:w="1410"/>
        <w:gridCol w:w="1483"/>
        <w:gridCol w:w="878"/>
        <w:gridCol w:w="1276"/>
        <w:gridCol w:w="1365"/>
        <w:gridCol w:w="1365"/>
        <w:gridCol w:w="1951"/>
        <w:gridCol w:w="1508"/>
      </w:tblGrid>
      <w:tr w:rsidR="00BB349C" w14:paraId="20B27159" w14:textId="77777777" w:rsidTr="78C3123E">
        <w:trPr>
          <w:trHeight w:val="252"/>
        </w:trPr>
        <w:tc>
          <w:tcPr>
            <w:tcW w:w="2745" w:type="dxa"/>
            <w:tcBorders>
              <w:top w:val="single" w:sz="4" w:space="0" w:color="auto"/>
              <w:left w:val="single" w:sz="4" w:space="0" w:color="auto"/>
              <w:bottom w:val="single" w:sz="4" w:space="0" w:color="auto"/>
              <w:right w:val="single" w:sz="4" w:space="0" w:color="auto"/>
            </w:tcBorders>
            <w:hideMark/>
          </w:tcPr>
          <w:p w14:paraId="7DE56F5C" w14:textId="77777777" w:rsidR="00931587" w:rsidRPr="00CF5FAC" w:rsidRDefault="00AF55DE" w:rsidP="00BE6BC7">
            <w:pPr>
              <w:pStyle w:val="NoSpacing"/>
              <w:rPr>
                <w:rFonts w:ascii="Arial" w:hAnsi="Arial" w:cs="Arial"/>
                <w:b/>
              </w:rPr>
            </w:pPr>
            <w:r w:rsidRPr="00CF5FAC">
              <w:rPr>
                <w:rFonts w:ascii="Arial" w:hAnsi="Arial" w:cs="Arial"/>
                <w:b/>
              </w:rPr>
              <w:lastRenderedPageBreak/>
              <w:t>Performance Indicator</w:t>
            </w:r>
          </w:p>
        </w:tc>
        <w:tc>
          <w:tcPr>
            <w:tcW w:w="1410" w:type="dxa"/>
            <w:tcBorders>
              <w:top w:val="single" w:sz="4" w:space="0" w:color="auto"/>
              <w:left w:val="single" w:sz="4" w:space="0" w:color="auto"/>
              <w:bottom w:val="single" w:sz="4" w:space="0" w:color="auto"/>
              <w:right w:val="single" w:sz="4" w:space="0" w:color="auto"/>
            </w:tcBorders>
            <w:hideMark/>
          </w:tcPr>
          <w:p w14:paraId="65EE06E5" w14:textId="77777777" w:rsidR="00931587" w:rsidRPr="00CF5FAC" w:rsidRDefault="00AF55DE" w:rsidP="00BE6BC7">
            <w:pPr>
              <w:pStyle w:val="NoSpacing"/>
              <w:rPr>
                <w:rFonts w:ascii="Arial" w:hAnsi="Arial" w:cs="Arial"/>
                <w:b/>
              </w:rPr>
            </w:pPr>
            <w:r w:rsidRPr="00CF5FAC">
              <w:rPr>
                <w:rFonts w:ascii="Arial" w:hAnsi="Arial" w:cs="Arial"/>
                <w:b/>
              </w:rPr>
              <w:t>Frequency</w:t>
            </w:r>
          </w:p>
        </w:tc>
        <w:tc>
          <w:tcPr>
            <w:tcW w:w="1483" w:type="dxa"/>
            <w:tcBorders>
              <w:top w:val="single" w:sz="4" w:space="0" w:color="auto"/>
              <w:left w:val="single" w:sz="4" w:space="0" w:color="auto"/>
              <w:bottom w:val="single" w:sz="4" w:space="0" w:color="auto"/>
              <w:right w:val="single" w:sz="4" w:space="0" w:color="auto"/>
            </w:tcBorders>
          </w:tcPr>
          <w:p w14:paraId="778B5D60" w14:textId="77777777" w:rsidR="00931587" w:rsidRPr="00CF5FAC" w:rsidRDefault="00AF55DE" w:rsidP="00BE6BC7">
            <w:pPr>
              <w:pStyle w:val="NoSpacing"/>
              <w:rPr>
                <w:rFonts w:ascii="Arial" w:hAnsi="Arial" w:cs="Arial"/>
                <w:b/>
              </w:rPr>
            </w:pPr>
            <w:r w:rsidRPr="00CF5FAC">
              <w:rPr>
                <w:rFonts w:ascii="Arial" w:hAnsi="Arial" w:cs="Arial"/>
                <w:b/>
              </w:rPr>
              <w:t xml:space="preserve">Directorate </w:t>
            </w:r>
          </w:p>
        </w:tc>
        <w:tc>
          <w:tcPr>
            <w:tcW w:w="878" w:type="dxa"/>
            <w:tcBorders>
              <w:top w:val="single" w:sz="4" w:space="0" w:color="auto"/>
              <w:left w:val="single" w:sz="4" w:space="0" w:color="auto"/>
              <w:bottom w:val="single" w:sz="4" w:space="0" w:color="auto"/>
              <w:right w:val="single" w:sz="4" w:space="0" w:color="auto"/>
            </w:tcBorders>
          </w:tcPr>
          <w:p w14:paraId="388A1214" w14:textId="77777777" w:rsidR="00931587" w:rsidRPr="00CF5FAC" w:rsidRDefault="00AF55DE" w:rsidP="00BE6BC7">
            <w:pPr>
              <w:pStyle w:val="NoSpacing"/>
              <w:rPr>
                <w:rFonts w:ascii="Arial" w:hAnsi="Arial" w:cs="Arial"/>
                <w:b/>
              </w:rPr>
            </w:pPr>
            <w:r w:rsidRPr="00CF5FAC">
              <w:rPr>
                <w:rFonts w:ascii="Arial" w:hAnsi="Arial" w:cs="Arial"/>
                <w:b/>
              </w:rPr>
              <w:t>Good is</w:t>
            </w:r>
          </w:p>
        </w:tc>
        <w:tc>
          <w:tcPr>
            <w:tcW w:w="1276" w:type="dxa"/>
            <w:tcBorders>
              <w:top w:val="single" w:sz="4" w:space="0" w:color="auto"/>
              <w:left w:val="single" w:sz="4" w:space="0" w:color="auto"/>
              <w:bottom w:val="single" w:sz="4" w:space="0" w:color="auto"/>
              <w:right w:val="single" w:sz="4" w:space="0" w:color="auto"/>
            </w:tcBorders>
          </w:tcPr>
          <w:p w14:paraId="361ABED6" w14:textId="1A353062" w:rsidR="62385CB5" w:rsidRDefault="00AF55DE" w:rsidP="62385CB5">
            <w:pPr>
              <w:pStyle w:val="NoSpacing"/>
              <w:rPr>
                <w:rFonts w:ascii="Arial" w:hAnsi="Arial" w:cs="Arial"/>
                <w:b/>
                <w:bCs/>
              </w:rPr>
            </w:pPr>
            <w:r w:rsidRPr="62385CB5">
              <w:rPr>
                <w:rFonts w:ascii="Arial" w:hAnsi="Arial" w:cs="Arial"/>
                <w:b/>
                <w:bCs/>
                <w:sz w:val="20"/>
                <w:szCs w:val="20"/>
              </w:rPr>
              <w:t>2019/20 Outturn</w:t>
            </w:r>
          </w:p>
        </w:tc>
        <w:tc>
          <w:tcPr>
            <w:tcW w:w="1365" w:type="dxa"/>
            <w:tcBorders>
              <w:top w:val="single" w:sz="4" w:space="0" w:color="auto"/>
              <w:left w:val="single" w:sz="4" w:space="0" w:color="auto"/>
              <w:bottom w:val="single" w:sz="4" w:space="0" w:color="auto"/>
              <w:right w:val="single" w:sz="4" w:space="0" w:color="auto"/>
            </w:tcBorders>
          </w:tcPr>
          <w:p w14:paraId="2AE5927A" w14:textId="7D1CA7E9" w:rsidR="62385CB5" w:rsidRDefault="00AF55DE" w:rsidP="62385CB5">
            <w:pPr>
              <w:pStyle w:val="NoSpacing"/>
              <w:rPr>
                <w:rFonts w:ascii="Arial" w:hAnsi="Arial" w:cs="Arial"/>
                <w:b/>
                <w:bCs/>
                <w:sz w:val="20"/>
                <w:szCs w:val="20"/>
              </w:rPr>
            </w:pPr>
            <w:r w:rsidRPr="62385CB5">
              <w:rPr>
                <w:rFonts w:ascii="Arial" w:hAnsi="Arial" w:cs="Arial"/>
                <w:b/>
                <w:bCs/>
                <w:sz w:val="20"/>
                <w:szCs w:val="20"/>
              </w:rPr>
              <w:t>2020/21 Outturn</w:t>
            </w:r>
          </w:p>
        </w:tc>
        <w:tc>
          <w:tcPr>
            <w:tcW w:w="1365" w:type="dxa"/>
            <w:tcBorders>
              <w:top w:val="single" w:sz="4" w:space="0" w:color="auto"/>
              <w:left w:val="single" w:sz="4" w:space="0" w:color="auto"/>
              <w:bottom w:val="single" w:sz="4" w:space="0" w:color="auto"/>
              <w:right w:val="single" w:sz="4" w:space="0" w:color="auto"/>
            </w:tcBorders>
          </w:tcPr>
          <w:p w14:paraId="5687479A" w14:textId="2C2CA058" w:rsidR="62385CB5" w:rsidRDefault="00AF55DE" w:rsidP="62385CB5">
            <w:pPr>
              <w:pStyle w:val="NoSpacing"/>
              <w:rPr>
                <w:rFonts w:ascii="Arial" w:hAnsi="Arial" w:cs="Arial"/>
                <w:b/>
                <w:bCs/>
                <w:sz w:val="20"/>
                <w:szCs w:val="20"/>
              </w:rPr>
            </w:pPr>
            <w:r w:rsidRPr="62385CB5">
              <w:rPr>
                <w:rFonts w:ascii="Arial" w:hAnsi="Arial" w:cs="Arial"/>
                <w:b/>
                <w:bCs/>
                <w:sz w:val="20"/>
                <w:szCs w:val="20"/>
              </w:rPr>
              <w:t>2020/21 Quarter 1 (April –June)</w:t>
            </w:r>
          </w:p>
        </w:tc>
        <w:tc>
          <w:tcPr>
            <w:tcW w:w="1951" w:type="dxa"/>
            <w:tcBorders>
              <w:top w:val="single" w:sz="4" w:space="0" w:color="auto"/>
              <w:left w:val="single" w:sz="4" w:space="0" w:color="auto"/>
              <w:bottom w:val="single" w:sz="4" w:space="0" w:color="auto"/>
              <w:right w:val="single" w:sz="4" w:space="0" w:color="auto"/>
            </w:tcBorders>
          </w:tcPr>
          <w:p w14:paraId="5AE65C96" w14:textId="5A0409F3" w:rsidR="62385CB5" w:rsidRDefault="00AF55DE" w:rsidP="62385CB5">
            <w:pPr>
              <w:pStyle w:val="NoSpacing"/>
              <w:rPr>
                <w:rFonts w:ascii="Arial" w:hAnsi="Arial" w:cs="Arial"/>
                <w:b/>
                <w:bCs/>
                <w:sz w:val="20"/>
                <w:szCs w:val="20"/>
              </w:rPr>
            </w:pPr>
            <w:r w:rsidRPr="62385CB5">
              <w:rPr>
                <w:rFonts w:ascii="Arial" w:hAnsi="Arial" w:cs="Arial"/>
                <w:b/>
                <w:bCs/>
                <w:sz w:val="20"/>
                <w:szCs w:val="20"/>
              </w:rPr>
              <w:t xml:space="preserve">2021/22 </w:t>
            </w:r>
            <w:r w:rsidR="06F78374" w:rsidRPr="62385CB5">
              <w:rPr>
                <w:rFonts w:ascii="Arial" w:hAnsi="Arial" w:cs="Arial"/>
                <w:b/>
                <w:bCs/>
                <w:sz w:val="20"/>
                <w:szCs w:val="20"/>
              </w:rPr>
              <w:t xml:space="preserve">  </w:t>
            </w:r>
            <w:r w:rsidRPr="62385CB5">
              <w:rPr>
                <w:rFonts w:ascii="Arial" w:hAnsi="Arial" w:cs="Arial"/>
                <w:b/>
                <w:bCs/>
                <w:sz w:val="20"/>
                <w:szCs w:val="20"/>
              </w:rPr>
              <w:t>Quarter 1 (April-June)</w:t>
            </w:r>
          </w:p>
        </w:tc>
        <w:tc>
          <w:tcPr>
            <w:tcW w:w="1508" w:type="dxa"/>
            <w:tcBorders>
              <w:top w:val="single" w:sz="4" w:space="0" w:color="auto"/>
              <w:left w:val="single" w:sz="4" w:space="0" w:color="auto"/>
              <w:bottom w:val="single" w:sz="4" w:space="0" w:color="auto"/>
              <w:right w:val="single" w:sz="4" w:space="0" w:color="auto"/>
            </w:tcBorders>
          </w:tcPr>
          <w:p w14:paraId="4B29E13B" w14:textId="2038BAE1" w:rsidR="00931587" w:rsidRPr="00CF5FAC" w:rsidRDefault="00AF55DE" w:rsidP="78C3123E">
            <w:pPr>
              <w:pStyle w:val="NoSpacing"/>
              <w:rPr>
                <w:rFonts w:ascii="Arial" w:hAnsi="Arial" w:cs="Arial"/>
                <w:b/>
                <w:bCs/>
              </w:rPr>
            </w:pPr>
            <w:r w:rsidRPr="78C3123E">
              <w:rPr>
                <w:rFonts w:ascii="Arial" w:hAnsi="Arial" w:cs="Arial"/>
                <w:b/>
                <w:bCs/>
              </w:rPr>
              <w:t>202</w:t>
            </w:r>
            <w:r w:rsidR="61D9A8A3" w:rsidRPr="78C3123E">
              <w:rPr>
                <w:rFonts w:ascii="Arial" w:hAnsi="Arial" w:cs="Arial"/>
                <w:b/>
                <w:bCs/>
              </w:rPr>
              <w:t>1</w:t>
            </w:r>
            <w:r w:rsidRPr="78C3123E">
              <w:rPr>
                <w:rFonts w:ascii="Arial" w:hAnsi="Arial" w:cs="Arial"/>
                <w:b/>
                <w:bCs/>
              </w:rPr>
              <w:t>/2</w:t>
            </w:r>
            <w:r w:rsidR="219CE3BF" w:rsidRPr="78C3123E">
              <w:rPr>
                <w:rFonts w:ascii="Arial" w:hAnsi="Arial" w:cs="Arial"/>
                <w:b/>
                <w:bCs/>
              </w:rPr>
              <w:t>2</w:t>
            </w:r>
            <w:r w:rsidRPr="78C3123E">
              <w:rPr>
                <w:rFonts w:ascii="Arial" w:hAnsi="Arial" w:cs="Arial"/>
                <w:b/>
                <w:bCs/>
              </w:rPr>
              <w:t xml:space="preserve"> Target</w:t>
            </w:r>
          </w:p>
        </w:tc>
      </w:tr>
      <w:tr w:rsidR="00BB349C" w14:paraId="6406BC84" w14:textId="77777777" w:rsidTr="78C3123E">
        <w:trPr>
          <w:trHeight w:val="2475"/>
        </w:trPr>
        <w:tc>
          <w:tcPr>
            <w:tcW w:w="2745" w:type="dxa"/>
            <w:tcBorders>
              <w:top w:val="single" w:sz="4" w:space="0" w:color="auto"/>
              <w:left w:val="single" w:sz="4" w:space="0" w:color="auto"/>
              <w:bottom w:val="single" w:sz="4" w:space="0" w:color="auto"/>
              <w:right w:val="single" w:sz="4" w:space="0" w:color="auto"/>
            </w:tcBorders>
            <w:hideMark/>
          </w:tcPr>
          <w:p w14:paraId="78B31FCC" w14:textId="77777777" w:rsidR="00931587" w:rsidRPr="00CF5FAC" w:rsidRDefault="00AF55DE" w:rsidP="62385CB5">
            <w:pPr>
              <w:pStyle w:val="NoSpacing"/>
              <w:rPr>
                <w:rFonts w:ascii="Arial" w:hAnsi="Arial" w:cs="Arial"/>
              </w:rPr>
            </w:pPr>
            <w:r w:rsidRPr="62385CB5">
              <w:rPr>
                <w:rFonts w:ascii="Arial" w:hAnsi="Arial" w:cs="Arial"/>
              </w:rPr>
              <w:t xml:space="preserve">Percentage of children and young people who </w:t>
            </w:r>
            <w:r w:rsidRPr="62385CB5">
              <w:rPr>
                <w:rFonts w:ascii="Arial" w:hAnsi="Arial" w:cs="Arial"/>
              </w:rPr>
              <w:t>received targeted early help support from Children and Families Wellbeing service which successfully met their identified needs</w:t>
            </w:r>
          </w:p>
        </w:tc>
        <w:tc>
          <w:tcPr>
            <w:tcW w:w="1410" w:type="dxa"/>
            <w:tcBorders>
              <w:top w:val="single" w:sz="4" w:space="0" w:color="auto"/>
              <w:left w:val="single" w:sz="4" w:space="0" w:color="auto"/>
              <w:bottom w:val="single" w:sz="4" w:space="0" w:color="auto"/>
              <w:right w:val="single" w:sz="4" w:space="0" w:color="auto"/>
            </w:tcBorders>
            <w:hideMark/>
          </w:tcPr>
          <w:p w14:paraId="0AD7C55B" w14:textId="77777777" w:rsidR="00931587" w:rsidRPr="00CF5FAC" w:rsidRDefault="00AF55DE" w:rsidP="62385CB5">
            <w:pPr>
              <w:pStyle w:val="NoSpacing"/>
              <w:rPr>
                <w:rFonts w:ascii="Arial" w:hAnsi="Arial" w:cs="Arial"/>
                <w:i/>
                <w:iCs/>
              </w:rPr>
            </w:pPr>
            <w:r w:rsidRPr="62385CB5">
              <w:rPr>
                <w:rFonts w:ascii="Arial" w:hAnsi="Arial" w:cs="Arial"/>
              </w:rPr>
              <w:t>Quarterly</w:t>
            </w:r>
          </w:p>
        </w:tc>
        <w:tc>
          <w:tcPr>
            <w:tcW w:w="1483" w:type="dxa"/>
            <w:tcBorders>
              <w:top w:val="single" w:sz="4" w:space="0" w:color="auto"/>
              <w:left w:val="single" w:sz="4" w:space="0" w:color="auto"/>
              <w:bottom w:val="single" w:sz="4" w:space="0" w:color="auto"/>
              <w:right w:val="single" w:sz="4" w:space="0" w:color="auto"/>
            </w:tcBorders>
          </w:tcPr>
          <w:p w14:paraId="12BAEB6F" w14:textId="77777777" w:rsidR="00931587" w:rsidRPr="00CF5FAC" w:rsidRDefault="00AF55DE" w:rsidP="62385CB5">
            <w:pPr>
              <w:pStyle w:val="NoSpacing"/>
              <w:rPr>
                <w:rFonts w:ascii="Arial" w:hAnsi="Arial" w:cs="Arial"/>
              </w:rPr>
            </w:pPr>
            <w:r w:rsidRPr="62385CB5">
              <w:rPr>
                <w:rFonts w:ascii="Arial" w:hAnsi="Arial" w:cs="Arial"/>
              </w:rPr>
              <w:t>Education and Children's Services</w:t>
            </w:r>
          </w:p>
        </w:tc>
        <w:tc>
          <w:tcPr>
            <w:tcW w:w="878" w:type="dxa"/>
            <w:tcBorders>
              <w:top w:val="single" w:sz="4" w:space="0" w:color="auto"/>
              <w:left w:val="single" w:sz="4" w:space="0" w:color="auto"/>
              <w:bottom w:val="single" w:sz="4" w:space="0" w:color="auto"/>
              <w:right w:val="single" w:sz="4" w:space="0" w:color="auto"/>
            </w:tcBorders>
          </w:tcPr>
          <w:p w14:paraId="27E6BDB8" w14:textId="77777777" w:rsidR="00931587" w:rsidRPr="00CF5FAC" w:rsidRDefault="00AF55DE" w:rsidP="62385CB5">
            <w:pPr>
              <w:pStyle w:val="NoSpacing"/>
              <w:rPr>
                <w:rFonts w:ascii="Arial" w:hAnsi="Arial" w:cs="Arial"/>
              </w:rPr>
            </w:pPr>
            <w:r w:rsidRPr="62385CB5">
              <w:rPr>
                <w:rFonts w:ascii="Arial" w:hAnsi="Arial" w:cs="Arial"/>
              </w:rPr>
              <w:t>High</w:t>
            </w: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F25DFBF" w14:textId="3DA629AB" w:rsidR="5C841ACF" w:rsidRDefault="00AF55DE" w:rsidP="62385CB5">
            <w:pPr>
              <w:pStyle w:val="NoSpacing"/>
            </w:pPr>
            <w:r w:rsidRPr="62385CB5">
              <w:rPr>
                <w:rFonts w:ascii="Arial" w:hAnsi="Arial" w:cs="Arial"/>
              </w:rPr>
              <w:t>65.5%</w:t>
            </w:r>
          </w:p>
          <w:p w14:paraId="49E19E48" w14:textId="24301D42" w:rsidR="73305708" w:rsidRDefault="73305708" w:rsidP="62385CB5">
            <w:pPr>
              <w:pStyle w:val="NoSpacing"/>
              <w:rPr>
                <w:rFonts w:ascii="Arial" w:hAnsi="Arial" w:cs="Arial"/>
              </w:rPr>
            </w:pPr>
          </w:p>
        </w:tc>
        <w:tc>
          <w:tcPr>
            <w:tcW w:w="1365"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BFC6B11" w14:textId="545B2C4F" w:rsidR="73305708" w:rsidRDefault="00AF55DE" w:rsidP="62385CB5">
            <w:pPr>
              <w:pStyle w:val="NoSpacing"/>
            </w:pPr>
            <w:r w:rsidRPr="62385CB5">
              <w:rPr>
                <w:rFonts w:ascii="Arial" w:hAnsi="Arial" w:cs="Arial"/>
              </w:rPr>
              <w:t>6</w:t>
            </w:r>
            <w:r w:rsidR="53B9EE4F" w:rsidRPr="62385CB5">
              <w:rPr>
                <w:rFonts w:ascii="Arial" w:hAnsi="Arial" w:cs="Arial"/>
              </w:rPr>
              <w:t>4%</w:t>
            </w:r>
          </w:p>
        </w:tc>
        <w:tc>
          <w:tcPr>
            <w:tcW w:w="1365"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FCA18B9" w14:textId="75491C59" w:rsidR="73305708" w:rsidRDefault="00AF55DE" w:rsidP="78C3123E">
            <w:pPr>
              <w:pStyle w:val="NoSpacing"/>
              <w:rPr>
                <w:rFonts w:ascii="Arial" w:hAnsi="Arial" w:cs="Arial"/>
              </w:rPr>
            </w:pPr>
            <w:r w:rsidRPr="78C3123E">
              <w:rPr>
                <w:rFonts w:ascii="Arial" w:hAnsi="Arial" w:cs="Arial"/>
              </w:rPr>
              <w:t>6</w:t>
            </w:r>
            <w:r w:rsidR="2F850245" w:rsidRPr="78C3123E">
              <w:rPr>
                <w:rFonts w:ascii="Arial" w:hAnsi="Arial" w:cs="Arial"/>
              </w:rPr>
              <w:t>0%</w:t>
            </w:r>
          </w:p>
        </w:tc>
        <w:tc>
          <w:tcPr>
            <w:tcW w:w="195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F8DD18D" w14:textId="0181E196" w:rsidR="4D3BAB78" w:rsidRDefault="00AF55DE" w:rsidP="62385CB5">
            <w:pPr>
              <w:pStyle w:val="NoSpacing"/>
            </w:pPr>
            <w:r w:rsidRPr="62385CB5">
              <w:rPr>
                <w:rFonts w:ascii="Arial" w:hAnsi="Arial" w:cs="Arial"/>
              </w:rPr>
              <w:t>70%</w:t>
            </w:r>
          </w:p>
          <w:p w14:paraId="366484F6" w14:textId="77777777" w:rsidR="73305708" w:rsidRDefault="73305708" w:rsidP="62385CB5">
            <w:pPr>
              <w:pStyle w:val="NoSpacing"/>
              <w:rPr>
                <w:rFonts w:ascii="Arial" w:hAnsi="Arial" w:cs="Arial"/>
              </w:rPr>
            </w:pPr>
          </w:p>
          <w:p w14:paraId="33B3F072" w14:textId="0B5AEB8C" w:rsidR="73305708" w:rsidRDefault="73305708" w:rsidP="62385CB5">
            <w:pPr>
              <w:pStyle w:val="NoSpacing"/>
              <w:rPr>
                <w:rFonts w:ascii="Arial" w:hAnsi="Arial" w:cs="Arial"/>
              </w:rPr>
            </w:pPr>
          </w:p>
        </w:tc>
        <w:tc>
          <w:tcPr>
            <w:tcW w:w="1508" w:type="dxa"/>
            <w:tcBorders>
              <w:top w:val="single" w:sz="4" w:space="0" w:color="auto"/>
              <w:left w:val="single" w:sz="4" w:space="0" w:color="auto"/>
              <w:bottom w:val="single" w:sz="4" w:space="0" w:color="auto"/>
              <w:right w:val="single" w:sz="4" w:space="0" w:color="auto"/>
            </w:tcBorders>
          </w:tcPr>
          <w:p w14:paraId="557E2964" w14:textId="77777777" w:rsidR="00931587" w:rsidRPr="00CF5FAC" w:rsidRDefault="00AF55DE" w:rsidP="62385CB5">
            <w:pPr>
              <w:pStyle w:val="NoSpacing"/>
              <w:jc w:val="center"/>
              <w:rPr>
                <w:rFonts w:ascii="Arial" w:hAnsi="Arial" w:cs="Arial"/>
              </w:rPr>
            </w:pPr>
            <w:r w:rsidRPr="62385CB5">
              <w:rPr>
                <w:rFonts w:ascii="Arial" w:hAnsi="Arial" w:cs="Arial"/>
              </w:rPr>
              <w:t>66%</w:t>
            </w:r>
          </w:p>
        </w:tc>
      </w:tr>
      <w:tr w:rsidR="00BB349C" w14:paraId="34389586" w14:textId="77777777" w:rsidTr="78C3123E">
        <w:trPr>
          <w:trHeight w:val="190"/>
        </w:trPr>
        <w:tc>
          <w:tcPr>
            <w:tcW w:w="2745" w:type="dxa"/>
            <w:tcBorders>
              <w:top w:val="single" w:sz="4" w:space="0" w:color="auto"/>
              <w:left w:val="single" w:sz="4" w:space="0" w:color="auto"/>
              <w:bottom w:val="single" w:sz="4" w:space="0" w:color="auto"/>
              <w:right w:val="single" w:sz="4" w:space="0" w:color="auto"/>
            </w:tcBorders>
            <w:hideMark/>
          </w:tcPr>
          <w:p w14:paraId="717AEFF6" w14:textId="10A5C133" w:rsidR="00931587" w:rsidRPr="0087783B" w:rsidRDefault="00AF55DE" w:rsidP="00BE6BC7">
            <w:pPr>
              <w:pStyle w:val="NoSpacing"/>
              <w:rPr>
                <w:rFonts w:ascii="Arial" w:hAnsi="Arial" w:cs="Arial"/>
              </w:rPr>
            </w:pPr>
            <w:r w:rsidRPr="78C3123E">
              <w:rPr>
                <w:rFonts w:ascii="Arial" w:hAnsi="Arial" w:cs="Arial"/>
              </w:rPr>
              <w:t xml:space="preserve">Percentage of children looked after who are </w:t>
            </w:r>
            <w:r w:rsidR="368A3F85" w:rsidRPr="78C3123E">
              <w:rPr>
                <w:rFonts w:ascii="Arial" w:hAnsi="Arial" w:cs="Arial"/>
              </w:rPr>
              <w:t xml:space="preserve">actually </w:t>
            </w:r>
            <w:r w:rsidRPr="78C3123E">
              <w:rPr>
                <w:rFonts w:ascii="Arial" w:hAnsi="Arial" w:cs="Arial"/>
              </w:rPr>
              <w:t>living in Lancashire</w:t>
            </w:r>
          </w:p>
          <w:p w14:paraId="1454B2AC" w14:textId="77777777" w:rsidR="00931587" w:rsidRPr="0087783B" w:rsidRDefault="00931587" w:rsidP="00BE6BC7">
            <w:pPr>
              <w:pStyle w:val="NoSpacing"/>
              <w:rPr>
                <w:rFonts w:ascii="Arial" w:hAnsi="Arial" w:cs="Arial"/>
              </w:rPr>
            </w:pPr>
          </w:p>
        </w:tc>
        <w:tc>
          <w:tcPr>
            <w:tcW w:w="1410" w:type="dxa"/>
            <w:tcBorders>
              <w:top w:val="single" w:sz="4" w:space="0" w:color="auto"/>
              <w:left w:val="single" w:sz="4" w:space="0" w:color="auto"/>
              <w:bottom w:val="single" w:sz="4" w:space="0" w:color="auto"/>
              <w:right w:val="single" w:sz="4" w:space="0" w:color="auto"/>
            </w:tcBorders>
            <w:hideMark/>
          </w:tcPr>
          <w:p w14:paraId="10571F2B" w14:textId="77777777" w:rsidR="00931587" w:rsidRPr="0087783B" w:rsidRDefault="00AF55DE" w:rsidP="00BE6BC7">
            <w:pPr>
              <w:pStyle w:val="NoSpacing"/>
              <w:rPr>
                <w:rFonts w:ascii="Arial" w:hAnsi="Arial" w:cs="Arial"/>
              </w:rPr>
            </w:pPr>
            <w:r w:rsidRPr="0087783B">
              <w:rPr>
                <w:rFonts w:ascii="Arial" w:hAnsi="Arial" w:cs="Arial"/>
              </w:rPr>
              <w:t>Quarterly</w:t>
            </w:r>
          </w:p>
        </w:tc>
        <w:tc>
          <w:tcPr>
            <w:tcW w:w="1483" w:type="dxa"/>
            <w:tcBorders>
              <w:top w:val="single" w:sz="4" w:space="0" w:color="auto"/>
              <w:left w:val="single" w:sz="4" w:space="0" w:color="auto"/>
              <w:bottom w:val="single" w:sz="4" w:space="0" w:color="auto"/>
              <w:right w:val="single" w:sz="4" w:space="0" w:color="auto"/>
            </w:tcBorders>
          </w:tcPr>
          <w:p w14:paraId="79536E50" w14:textId="77777777" w:rsidR="00931587" w:rsidRPr="0087783B" w:rsidRDefault="00AF55DE" w:rsidP="00BE6BC7">
            <w:pPr>
              <w:pStyle w:val="NoSpacing"/>
              <w:rPr>
                <w:rFonts w:ascii="Arial" w:hAnsi="Arial" w:cs="Arial"/>
              </w:rPr>
            </w:pPr>
            <w:r w:rsidRPr="0087783B">
              <w:rPr>
                <w:rFonts w:ascii="Arial" w:hAnsi="Arial" w:cs="Arial"/>
              </w:rPr>
              <w:t>Education and Children's Services</w:t>
            </w:r>
          </w:p>
        </w:tc>
        <w:tc>
          <w:tcPr>
            <w:tcW w:w="878" w:type="dxa"/>
            <w:tcBorders>
              <w:top w:val="single" w:sz="4" w:space="0" w:color="auto"/>
              <w:left w:val="single" w:sz="4" w:space="0" w:color="auto"/>
              <w:bottom w:val="single" w:sz="4" w:space="0" w:color="auto"/>
              <w:right w:val="single" w:sz="4" w:space="0" w:color="auto"/>
            </w:tcBorders>
          </w:tcPr>
          <w:p w14:paraId="10BBEE06" w14:textId="77777777" w:rsidR="00931587" w:rsidRPr="0087783B" w:rsidRDefault="00AF55DE" w:rsidP="00BE6BC7">
            <w:pPr>
              <w:pStyle w:val="NoSpacing"/>
              <w:rPr>
                <w:rFonts w:ascii="Arial" w:hAnsi="Arial" w:cs="Arial"/>
              </w:rPr>
            </w:pPr>
            <w:r w:rsidRPr="0087783B">
              <w:rPr>
                <w:rFonts w:ascii="Arial" w:hAnsi="Arial" w:cs="Arial"/>
              </w:rPr>
              <w:t>High</w:t>
            </w: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F42B645" w14:textId="4E57EEE0" w:rsidR="0E9FFDBC" w:rsidRDefault="00AF55DE" w:rsidP="0E9FFDBC">
            <w:pPr>
              <w:pStyle w:val="NoSpacing"/>
              <w:rPr>
                <w:rFonts w:ascii="Arial" w:hAnsi="Arial" w:cs="Arial"/>
              </w:rPr>
            </w:pPr>
            <w:r w:rsidRPr="62385CB5">
              <w:rPr>
                <w:rFonts w:ascii="Arial" w:hAnsi="Arial" w:cs="Arial"/>
              </w:rPr>
              <w:t>79.9</w:t>
            </w:r>
            <w:r w:rsidR="1FC199ED" w:rsidRPr="62385CB5">
              <w:rPr>
                <w:rFonts w:ascii="Arial" w:hAnsi="Arial" w:cs="Arial"/>
              </w:rPr>
              <w:t xml:space="preserve">% </w:t>
            </w:r>
            <w:r>
              <w:br/>
            </w:r>
            <w:r w:rsidR="4EA50384" w:rsidRPr="62385CB5">
              <w:rPr>
                <w:rFonts w:ascii="Arial" w:hAnsi="Arial" w:cs="Arial"/>
              </w:rPr>
              <w:t>March</w:t>
            </w:r>
            <w:r w:rsidR="1FC199ED" w:rsidRPr="62385CB5">
              <w:rPr>
                <w:rFonts w:ascii="Arial" w:hAnsi="Arial" w:cs="Arial"/>
              </w:rPr>
              <w:t xml:space="preserve"> 2020</w:t>
            </w:r>
          </w:p>
        </w:tc>
        <w:tc>
          <w:tcPr>
            <w:tcW w:w="13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237CB0C" w14:textId="27DD71FD" w:rsidR="0E9FFDBC" w:rsidRDefault="00AF55DE" w:rsidP="0E9FFDBC">
            <w:pPr>
              <w:pStyle w:val="NoSpacing"/>
              <w:rPr>
                <w:rFonts w:ascii="Arial" w:hAnsi="Arial" w:cs="Arial"/>
              </w:rPr>
            </w:pPr>
            <w:r w:rsidRPr="62385CB5">
              <w:rPr>
                <w:rFonts w:ascii="Arial" w:hAnsi="Arial" w:cs="Arial"/>
              </w:rPr>
              <w:t>8</w:t>
            </w:r>
            <w:r w:rsidR="519D9F04" w:rsidRPr="62385CB5">
              <w:rPr>
                <w:rFonts w:ascii="Arial" w:hAnsi="Arial" w:cs="Arial"/>
              </w:rPr>
              <w:t>0.0%</w:t>
            </w:r>
            <w:r w:rsidRPr="62385CB5">
              <w:rPr>
                <w:rFonts w:ascii="Arial" w:hAnsi="Arial" w:cs="Arial"/>
              </w:rPr>
              <w:t xml:space="preserve"> </w:t>
            </w:r>
            <w:r>
              <w:br/>
            </w:r>
            <w:r w:rsidR="661B5A62" w:rsidRPr="62385CB5">
              <w:rPr>
                <w:rFonts w:ascii="Arial" w:hAnsi="Arial" w:cs="Arial"/>
              </w:rPr>
              <w:t>March</w:t>
            </w:r>
            <w:r w:rsidRPr="62385CB5">
              <w:rPr>
                <w:rFonts w:ascii="Arial" w:hAnsi="Arial" w:cs="Arial"/>
              </w:rPr>
              <w:t xml:space="preserve"> 202</w:t>
            </w:r>
            <w:r w:rsidR="6AD0AD18" w:rsidRPr="62385CB5">
              <w:rPr>
                <w:rFonts w:ascii="Arial" w:hAnsi="Arial" w:cs="Arial"/>
              </w:rPr>
              <w:t>1</w:t>
            </w:r>
          </w:p>
        </w:tc>
        <w:tc>
          <w:tcPr>
            <w:tcW w:w="13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C89939B" w14:textId="46815A21" w:rsidR="0E9FFDBC" w:rsidRDefault="00AF55DE" w:rsidP="0E9FFDBC">
            <w:pPr>
              <w:pStyle w:val="NoSpacing"/>
              <w:rPr>
                <w:rFonts w:ascii="Arial" w:hAnsi="Arial" w:cs="Arial"/>
              </w:rPr>
            </w:pPr>
            <w:r w:rsidRPr="62385CB5">
              <w:rPr>
                <w:rFonts w:ascii="Arial" w:hAnsi="Arial" w:cs="Arial"/>
              </w:rPr>
              <w:t>80.</w:t>
            </w:r>
            <w:r w:rsidR="081BB743" w:rsidRPr="62385CB5">
              <w:rPr>
                <w:rFonts w:ascii="Arial" w:hAnsi="Arial" w:cs="Arial"/>
              </w:rPr>
              <w:t>1</w:t>
            </w:r>
            <w:r w:rsidRPr="62385CB5">
              <w:rPr>
                <w:rFonts w:ascii="Arial" w:hAnsi="Arial" w:cs="Arial"/>
              </w:rPr>
              <w:t xml:space="preserve">% </w:t>
            </w:r>
            <w:r>
              <w:br/>
            </w:r>
            <w:r w:rsidR="2FF6D778" w:rsidRPr="62385CB5">
              <w:rPr>
                <w:rFonts w:ascii="Arial" w:hAnsi="Arial" w:cs="Arial"/>
              </w:rPr>
              <w:t>June</w:t>
            </w:r>
            <w:r w:rsidRPr="62385CB5">
              <w:rPr>
                <w:rFonts w:ascii="Arial" w:hAnsi="Arial" w:cs="Arial"/>
              </w:rPr>
              <w:t xml:space="preserve"> 2020</w:t>
            </w:r>
          </w:p>
        </w:tc>
        <w:tc>
          <w:tcPr>
            <w:tcW w:w="195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189ECCF" w14:textId="2BADFA31" w:rsidR="0E9FFDBC" w:rsidRDefault="00AF55DE" w:rsidP="0E9FFDBC">
            <w:pPr>
              <w:pStyle w:val="NoSpacing"/>
              <w:rPr>
                <w:rFonts w:ascii="Arial" w:hAnsi="Arial" w:cs="Arial"/>
              </w:rPr>
            </w:pPr>
            <w:r w:rsidRPr="62385CB5">
              <w:rPr>
                <w:rFonts w:ascii="Arial" w:hAnsi="Arial" w:cs="Arial"/>
              </w:rPr>
              <w:t>8</w:t>
            </w:r>
            <w:r w:rsidR="341B5A51" w:rsidRPr="62385CB5">
              <w:rPr>
                <w:rFonts w:ascii="Arial" w:hAnsi="Arial" w:cs="Arial"/>
              </w:rPr>
              <w:t>1</w:t>
            </w:r>
            <w:r w:rsidRPr="62385CB5">
              <w:rPr>
                <w:rFonts w:ascii="Arial" w:hAnsi="Arial" w:cs="Arial"/>
              </w:rPr>
              <w:t>.</w:t>
            </w:r>
            <w:r w:rsidR="22853215" w:rsidRPr="62385CB5">
              <w:rPr>
                <w:rFonts w:ascii="Arial" w:hAnsi="Arial" w:cs="Arial"/>
              </w:rPr>
              <w:t>2</w:t>
            </w:r>
            <w:r w:rsidRPr="62385CB5">
              <w:rPr>
                <w:rFonts w:ascii="Arial" w:hAnsi="Arial" w:cs="Arial"/>
              </w:rPr>
              <w:t>%</w:t>
            </w:r>
            <w:r>
              <w:br/>
            </w:r>
            <w:r w:rsidR="7AD9CA23" w:rsidRPr="62385CB5">
              <w:rPr>
                <w:rFonts w:ascii="Arial" w:hAnsi="Arial" w:cs="Arial"/>
              </w:rPr>
              <w:t xml:space="preserve">June </w:t>
            </w:r>
            <w:r w:rsidRPr="62385CB5">
              <w:rPr>
                <w:rFonts w:ascii="Arial" w:hAnsi="Arial" w:cs="Arial"/>
              </w:rPr>
              <w:t>21</w:t>
            </w:r>
          </w:p>
        </w:tc>
        <w:tc>
          <w:tcPr>
            <w:tcW w:w="1508" w:type="dxa"/>
            <w:tcBorders>
              <w:top w:val="single" w:sz="4" w:space="0" w:color="auto"/>
              <w:left w:val="single" w:sz="4" w:space="0" w:color="auto"/>
              <w:bottom w:val="single" w:sz="4" w:space="0" w:color="auto"/>
              <w:right w:val="single" w:sz="4" w:space="0" w:color="auto"/>
            </w:tcBorders>
          </w:tcPr>
          <w:p w14:paraId="36E2C1FB" w14:textId="77777777" w:rsidR="00931587" w:rsidRPr="0087783B" w:rsidRDefault="00AF55DE" w:rsidP="00122FB0">
            <w:pPr>
              <w:pStyle w:val="NoSpacing"/>
              <w:jc w:val="center"/>
              <w:rPr>
                <w:rFonts w:ascii="Arial" w:hAnsi="Arial" w:cs="Arial"/>
              </w:rPr>
            </w:pPr>
            <w:r w:rsidRPr="0087783B">
              <w:rPr>
                <w:rFonts w:ascii="Arial" w:hAnsi="Arial" w:cs="Arial"/>
              </w:rPr>
              <w:t>80%</w:t>
            </w:r>
          </w:p>
        </w:tc>
      </w:tr>
    </w:tbl>
    <w:p w14:paraId="36352DA4" w14:textId="77777777" w:rsidR="002E52CE" w:rsidRDefault="002E52CE" w:rsidP="62385CB5"/>
    <w:p w14:paraId="41130D7C" w14:textId="4EB0B1CC" w:rsidR="75884560" w:rsidRDefault="00AF55DE" w:rsidP="78C3123E">
      <w:pPr>
        <w:rPr>
          <w:color w:val="000000" w:themeColor="text1"/>
          <w:sz w:val="22"/>
          <w:szCs w:val="22"/>
        </w:rPr>
      </w:pPr>
      <w:r w:rsidRPr="78C3123E">
        <w:rPr>
          <w:rFonts w:cs="Arial"/>
          <w:b/>
          <w:bCs/>
          <w:sz w:val="22"/>
          <w:szCs w:val="22"/>
        </w:rPr>
        <w:t>Children and Families Wellbeing Service</w:t>
      </w:r>
      <w:r w:rsidRPr="78C3123E">
        <w:rPr>
          <w:rFonts w:cs="Arial"/>
        </w:rPr>
        <w:t>.</w:t>
      </w:r>
      <w:r>
        <w:t xml:space="preserve"> </w:t>
      </w:r>
      <w:r w:rsidR="34BAA26D" w:rsidRPr="78C3123E">
        <w:rPr>
          <w:color w:val="000000" w:themeColor="text1"/>
          <w:sz w:val="22"/>
          <w:szCs w:val="22"/>
        </w:rPr>
        <w:t>Performance in Q</w:t>
      </w:r>
      <w:r w:rsidR="00E77D06">
        <w:rPr>
          <w:color w:val="000000" w:themeColor="text1"/>
          <w:sz w:val="22"/>
          <w:szCs w:val="22"/>
        </w:rPr>
        <w:t xml:space="preserve">uarter </w:t>
      </w:r>
      <w:r w:rsidR="34BAA26D" w:rsidRPr="78C3123E">
        <w:rPr>
          <w:color w:val="000000" w:themeColor="text1"/>
          <w:sz w:val="22"/>
          <w:szCs w:val="22"/>
        </w:rPr>
        <w:t xml:space="preserve">1 exceeded the target, with a continued reduction in families withdrawing or </w:t>
      </w:r>
      <w:r w:rsidR="683F24ED" w:rsidRPr="78C3123E">
        <w:rPr>
          <w:color w:val="000000" w:themeColor="text1"/>
          <w:sz w:val="22"/>
          <w:szCs w:val="22"/>
        </w:rPr>
        <w:t>becoming disengaged, and fewer families being referred to children’s social care</w:t>
      </w:r>
      <w:r w:rsidR="2B379B11" w:rsidRPr="78C3123E">
        <w:rPr>
          <w:color w:val="000000" w:themeColor="text1"/>
          <w:sz w:val="22"/>
          <w:szCs w:val="22"/>
        </w:rPr>
        <w:t>.</w:t>
      </w:r>
      <w:r w:rsidR="17796263" w:rsidRPr="78C3123E">
        <w:rPr>
          <w:color w:val="000000" w:themeColor="text1"/>
          <w:sz w:val="22"/>
          <w:szCs w:val="22"/>
        </w:rPr>
        <w:t xml:space="preserve"> </w:t>
      </w:r>
      <w:r w:rsidR="4B7256C3" w:rsidRPr="78C3123E">
        <w:rPr>
          <w:color w:val="000000" w:themeColor="text1"/>
          <w:sz w:val="22"/>
          <w:szCs w:val="22"/>
        </w:rPr>
        <w:t>T</w:t>
      </w:r>
      <w:r w:rsidR="17796263" w:rsidRPr="78C3123E">
        <w:rPr>
          <w:color w:val="000000" w:themeColor="text1"/>
          <w:sz w:val="22"/>
          <w:szCs w:val="22"/>
        </w:rPr>
        <w:t>his is a particularly positive picture as a</w:t>
      </w:r>
      <w:r w:rsidR="6DA4321C" w:rsidRPr="78C3123E">
        <w:rPr>
          <w:color w:val="000000" w:themeColor="text1"/>
          <w:sz w:val="22"/>
          <w:szCs w:val="22"/>
        </w:rPr>
        <w:t xml:space="preserve"> remodelled </w:t>
      </w:r>
      <w:r w:rsidR="70EE5286" w:rsidRPr="78C3123E">
        <w:rPr>
          <w:color w:val="000000" w:themeColor="text1"/>
          <w:sz w:val="22"/>
          <w:szCs w:val="22"/>
        </w:rPr>
        <w:t xml:space="preserve">Children and Families Wellbeing service </w:t>
      </w:r>
      <w:r w:rsidR="0F7B9D71" w:rsidRPr="78C3123E">
        <w:rPr>
          <w:color w:val="000000" w:themeColor="text1"/>
          <w:sz w:val="22"/>
          <w:szCs w:val="22"/>
        </w:rPr>
        <w:t>was introduced in Q</w:t>
      </w:r>
      <w:r w:rsidR="00E77D06">
        <w:rPr>
          <w:color w:val="000000" w:themeColor="text1"/>
          <w:sz w:val="22"/>
          <w:szCs w:val="22"/>
        </w:rPr>
        <w:t xml:space="preserve">uarter </w:t>
      </w:r>
      <w:r w:rsidR="1CCD41C8" w:rsidRPr="78C3123E">
        <w:rPr>
          <w:color w:val="000000" w:themeColor="text1"/>
          <w:sz w:val="22"/>
          <w:szCs w:val="22"/>
        </w:rPr>
        <w:t>1 and it demonstrates that the service implemented the remodel without impacting on frontline services and has quickly adapted to the new delivery model.</w:t>
      </w:r>
      <w:r w:rsidR="4501CB4D" w:rsidRPr="78C3123E">
        <w:rPr>
          <w:color w:val="000000" w:themeColor="text1"/>
          <w:sz w:val="22"/>
          <w:szCs w:val="22"/>
        </w:rPr>
        <w:t xml:space="preserve"> </w:t>
      </w:r>
    </w:p>
    <w:p w14:paraId="5C58680A" w14:textId="0AACBBA1" w:rsidR="77C22A19" w:rsidRDefault="00AF55DE" w:rsidP="62385CB5">
      <w:pPr>
        <w:rPr>
          <w:sz w:val="22"/>
          <w:szCs w:val="22"/>
        </w:rPr>
      </w:pPr>
      <w:r w:rsidRPr="62385CB5">
        <w:rPr>
          <w:sz w:val="22"/>
          <w:szCs w:val="22"/>
        </w:rPr>
        <w:t xml:space="preserve">Much of the service's operations in Quarter 1 were delivered 'virtually', due to the pandemic. A return to face-to-face support during </w:t>
      </w:r>
      <w:r w:rsidR="3DB90489" w:rsidRPr="62385CB5">
        <w:rPr>
          <w:sz w:val="22"/>
          <w:szCs w:val="22"/>
        </w:rPr>
        <w:t>Q</w:t>
      </w:r>
      <w:r w:rsidRPr="62385CB5">
        <w:rPr>
          <w:sz w:val="22"/>
          <w:szCs w:val="22"/>
        </w:rPr>
        <w:t xml:space="preserve">uarter 2 is expected to further improve engagement with families for the remainder of the year. </w:t>
      </w:r>
    </w:p>
    <w:p w14:paraId="19D513DA" w14:textId="4BEABCC6" w:rsidR="00931587" w:rsidRDefault="00AF55DE" w:rsidP="00D85D0B">
      <w:pPr>
        <w:rPr>
          <w:sz w:val="22"/>
          <w:szCs w:val="22"/>
        </w:rPr>
      </w:pPr>
      <w:r w:rsidRPr="78C3123E">
        <w:rPr>
          <w:sz w:val="22"/>
          <w:szCs w:val="22"/>
        </w:rPr>
        <w:t xml:space="preserve">A rolling programme of </w:t>
      </w:r>
      <w:r w:rsidRPr="78C3123E">
        <w:rPr>
          <w:sz w:val="22"/>
          <w:szCs w:val="22"/>
        </w:rPr>
        <w:t xml:space="preserve">Practice Development Workshops are being delivered across the service; 'Engagement &amp; Consent' was the focus in June </w:t>
      </w:r>
      <w:r w:rsidR="0054125E">
        <w:rPr>
          <w:sz w:val="22"/>
          <w:szCs w:val="22"/>
        </w:rPr>
        <w:t>20</w:t>
      </w:r>
      <w:r w:rsidRPr="78C3123E">
        <w:rPr>
          <w:sz w:val="22"/>
          <w:szCs w:val="22"/>
        </w:rPr>
        <w:t>21. It is anticipated this will improve the measure further once this learning is embedded in the service.</w:t>
      </w:r>
    </w:p>
    <w:p w14:paraId="3322F1CD" w14:textId="3C570AD4" w:rsidR="00F16123" w:rsidRPr="00F16123" w:rsidRDefault="00AF55DE" w:rsidP="00F16123">
      <w:pPr>
        <w:rPr>
          <w:rFonts w:ascii="Calibri" w:eastAsiaTheme="minorHAnsi" w:hAnsi="Calibri" w:cs="Calibri"/>
          <w:color w:val="auto"/>
          <w:sz w:val="22"/>
          <w:szCs w:val="22"/>
        </w:rPr>
      </w:pPr>
      <w:r w:rsidRPr="00F16123">
        <w:rPr>
          <w:sz w:val="22"/>
          <w:szCs w:val="22"/>
        </w:rPr>
        <w:t>The Ofsted Focussed Visit to La</w:t>
      </w:r>
      <w:r w:rsidRPr="00F16123">
        <w:rPr>
          <w:sz w:val="22"/>
          <w:szCs w:val="22"/>
        </w:rPr>
        <w:t>ncashire Children's Services in July 2021 found that most children receive timely support at the right level of need. They are subject to proportionate levels of intervention and are stepped down to lower levels when this is possible and appropriate. For m</w:t>
      </w:r>
      <w:r w:rsidRPr="00F16123">
        <w:rPr>
          <w:sz w:val="22"/>
          <w:szCs w:val="22"/>
        </w:rPr>
        <w:t>ost children who Are stepped down from C</w:t>
      </w:r>
      <w:r>
        <w:rPr>
          <w:sz w:val="22"/>
          <w:szCs w:val="22"/>
        </w:rPr>
        <w:t xml:space="preserve">hildren's </w:t>
      </w:r>
      <w:r w:rsidRPr="00F16123">
        <w:rPr>
          <w:sz w:val="22"/>
          <w:szCs w:val="22"/>
        </w:rPr>
        <w:t>S</w:t>
      </w:r>
      <w:r>
        <w:rPr>
          <w:sz w:val="22"/>
          <w:szCs w:val="22"/>
        </w:rPr>
        <w:t xml:space="preserve">ocial </w:t>
      </w:r>
      <w:r w:rsidRPr="00F16123">
        <w:rPr>
          <w:sz w:val="22"/>
          <w:szCs w:val="22"/>
        </w:rPr>
        <w:t>C</w:t>
      </w:r>
      <w:r>
        <w:rPr>
          <w:sz w:val="22"/>
          <w:szCs w:val="22"/>
        </w:rPr>
        <w:t>are</w:t>
      </w:r>
      <w:r w:rsidRPr="00F16123">
        <w:rPr>
          <w:sz w:val="22"/>
          <w:szCs w:val="22"/>
        </w:rPr>
        <w:t xml:space="preserve"> to the C</w:t>
      </w:r>
      <w:r w:rsidR="00384F60">
        <w:rPr>
          <w:sz w:val="22"/>
          <w:szCs w:val="22"/>
        </w:rPr>
        <w:t xml:space="preserve">hildren &amp; </w:t>
      </w:r>
      <w:r w:rsidRPr="00F16123">
        <w:rPr>
          <w:sz w:val="22"/>
          <w:szCs w:val="22"/>
        </w:rPr>
        <w:t>F</w:t>
      </w:r>
      <w:r w:rsidR="00384F60">
        <w:rPr>
          <w:sz w:val="22"/>
          <w:szCs w:val="22"/>
        </w:rPr>
        <w:t xml:space="preserve">amiles </w:t>
      </w:r>
      <w:r w:rsidRPr="00F16123">
        <w:rPr>
          <w:sz w:val="22"/>
          <w:szCs w:val="22"/>
        </w:rPr>
        <w:t>W</w:t>
      </w:r>
      <w:r w:rsidR="00384F60">
        <w:rPr>
          <w:sz w:val="22"/>
          <w:szCs w:val="22"/>
        </w:rPr>
        <w:t xml:space="preserve">ellbeing </w:t>
      </w:r>
      <w:r w:rsidRPr="00F16123">
        <w:rPr>
          <w:sz w:val="22"/>
          <w:szCs w:val="22"/>
        </w:rPr>
        <w:t>S</w:t>
      </w:r>
      <w:r w:rsidR="00384F60">
        <w:rPr>
          <w:sz w:val="22"/>
          <w:szCs w:val="22"/>
        </w:rPr>
        <w:t>ervice</w:t>
      </w:r>
      <w:r w:rsidRPr="00F16123">
        <w:rPr>
          <w:sz w:val="22"/>
          <w:szCs w:val="22"/>
        </w:rPr>
        <w:t>, this transition is well managed and leads to effective multi-agency support to meet their  needs. Inspectors also found that since the pandemic, part</w:t>
      </w:r>
      <w:r w:rsidRPr="00F16123">
        <w:rPr>
          <w:sz w:val="22"/>
          <w:szCs w:val="22"/>
        </w:rPr>
        <w:t>ners worked effectively to maintain services and minimise the impact on vulnerable children and their families. Inspectors highlighted that this is a noteworthy achievement, particularly given the size of the county and its workforce, and the significant a</w:t>
      </w:r>
      <w:r w:rsidRPr="00F16123">
        <w:rPr>
          <w:sz w:val="22"/>
          <w:szCs w:val="22"/>
        </w:rPr>
        <w:t>nd continued impact of COVID-19.</w:t>
      </w:r>
    </w:p>
    <w:p w14:paraId="0758D2AC" w14:textId="77777777" w:rsidR="00F16123" w:rsidRPr="00D85D0B" w:rsidRDefault="00F16123" w:rsidP="00D85D0B">
      <w:pPr>
        <w:rPr>
          <w:sz w:val="22"/>
          <w:szCs w:val="22"/>
        </w:rPr>
      </w:pPr>
    </w:p>
    <w:p w14:paraId="0B9AB47E" w14:textId="54341AD3" w:rsidR="00931587" w:rsidRPr="00D85D0B" w:rsidRDefault="00AF55DE" w:rsidP="78C3123E">
      <w:pPr>
        <w:rPr>
          <w:rFonts w:ascii="Calibri" w:eastAsiaTheme="minorEastAsia" w:hAnsi="Calibri" w:cs="Calibri"/>
          <w:color w:val="FF0000"/>
          <w:sz w:val="22"/>
          <w:szCs w:val="22"/>
        </w:rPr>
      </w:pPr>
      <w:r w:rsidRPr="78C3123E">
        <w:rPr>
          <w:rFonts w:cs="Arial"/>
          <w:b/>
          <w:bCs/>
          <w:sz w:val="22"/>
          <w:szCs w:val="22"/>
        </w:rPr>
        <w:t xml:space="preserve">Looked after children </w:t>
      </w:r>
      <w:r w:rsidR="692B77AB" w:rsidRPr="78C3123E">
        <w:rPr>
          <w:rFonts w:cs="Arial"/>
          <w:b/>
          <w:bCs/>
          <w:sz w:val="22"/>
          <w:szCs w:val="22"/>
        </w:rPr>
        <w:t xml:space="preserve">actually </w:t>
      </w:r>
      <w:r w:rsidRPr="78C3123E">
        <w:rPr>
          <w:rFonts w:cs="Arial"/>
          <w:b/>
          <w:bCs/>
          <w:sz w:val="22"/>
          <w:szCs w:val="22"/>
        </w:rPr>
        <w:t>living in Lancashire.</w:t>
      </w:r>
      <w:r w:rsidRPr="78C3123E">
        <w:rPr>
          <w:rFonts w:cs="Arial"/>
          <w:sz w:val="22"/>
          <w:szCs w:val="22"/>
        </w:rPr>
        <w:t xml:space="preserve"> </w:t>
      </w:r>
      <w:r w:rsidR="44826B24" w:rsidRPr="78C3123E">
        <w:rPr>
          <w:rFonts w:cs="Arial"/>
          <w:sz w:val="22"/>
          <w:szCs w:val="22"/>
        </w:rPr>
        <w:t xml:space="preserve">This indicator remained above target at the end of </w:t>
      </w:r>
      <w:r w:rsidR="2231A56D" w:rsidRPr="78C3123E">
        <w:rPr>
          <w:rFonts w:cs="Arial"/>
          <w:sz w:val="22"/>
          <w:szCs w:val="22"/>
        </w:rPr>
        <w:t>Q</w:t>
      </w:r>
      <w:r w:rsidR="00DF7B5D">
        <w:rPr>
          <w:rFonts w:cs="Arial"/>
          <w:sz w:val="22"/>
          <w:szCs w:val="22"/>
        </w:rPr>
        <w:t xml:space="preserve">uarter </w:t>
      </w:r>
      <w:r w:rsidR="44826B24" w:rsidRPr="78C3123E">
        <w:rPr>
          <w:rFonts w:cs="Arial"/>
          <w:sz w:val="22"/>
          <w:szCs w:val="22"/>
        </w:rPr>
        <w:t>1 2021/22 (81.2%)</w:t>
      </w:r>
      <w:r w:rsidR="1935DD8D" w:rsidRPr="78C3123E">
        <w:rPr>
          <w:rFonts w:cs="Arial"/>
          <w:sz w:val="22"/>
          <w:szCs w:val="22"/>
        </w:rPr>
        <w:t xml:space="preserve">. </w:t>
      </w:r>
      <w:r w:rsidR="0A3F1586" w:rsidRPr="78C3123E">
        <w:rPr>
          <w:color w:val="auto"/>
          <w:sz w:val="22"/>
          <w:szCs w:val="22"/>
        </w:rPr>
        <w:t xml:space="preserve">Social Care teams, including fostering and residential teams have worked with commissioning colleagues and with </w:t>
      </w:r>
      <w:r w:rsidR="672C129F" w:rsidRPr="78C3123E">
        <w:rPr>
          <w:color w:val="auto"/>
          <w:sz w:val="22"/>
          <w:szCs w:val="22"/>
        </w:rPr>
        <w:t>independent fostering</w:t>
      </w:r>
      <w:r w:rsidR="0A3F1586" w:rsidRPr="78C3123E">
        <w:rPr>
          <w:color w:val="auto"/>
          <w:sz w:val="22"/>
          <w:szCs w:val="22"/>
        </w:rPr>
        <w:t xml:space="preserve"> and residential providers to ensure children and young people </w:t>
      </w:r>
      <w:r w:rsidR="5CCDB902" w:rsidRPr="78C3123E">
        <w:rPr>
          <w:color w:val="auto"/>
          <w:sz w:val="22"/>
          <w:szCs w:val="22"/>
        </w:rPr>
        <w:t>can</w:t>
      </w:r>
      <w:r w:rsidR="0A3F1586" w:rsidRPr="78C3123E">
        <w:rPr>
          <w:color w:val="auto"/>
          <w:sz w:val="22"/>
          <w:szCs w:val="22"/>
        </w:rPr>
        <w:t xml:space="preserve"> remain within their communities</w:t>
      </w:r>
      <w:r w:rsidR="1B548A93" w:rsidRPr="78C3123E">
        <w:rPr>
          <w:color w:val="auto"/>
          <w:sz w:val="22"/>
          <w:szCs w:val="22"/>
        </w:rPr>
        <w:t>, where possible,</w:t>
      </w:r>
      <w:r w:rsidR="0A3F1586" w:rsidRPr="78C3123E">
        <w:rPr>
          <w:color w:val="auto"/>
          <w:sz w:val="22"/>
          <w:szCs w:val="22"/>
        </w:rPr>
        <w:t xml:space="preserve"> enabling them to continue to access their educational establishments and be close to family and friends where it is safe to do so.</w:t>
      </w:r>
    </w:p>
    <w:p w14:paraId="1D01B33C" w14:textId="69632C6A" w:rsidR="0047614A" w:rsidRDefault="00AF55DE" w:rsidP="00BC57F5">
      <w:pPr>
        <w:pStyle w:val="NoSpacing"/>
        <w:rPr>
          <w:rFonts w:ascii="Arial" w:hAnsi="Arial" w:cs="Arial"/>
          <w:b/>
        </w:rPr>
      </w:pPr>
      <w:r>
        <w:rPr>
          <w:rFonts w:ascii="Arial" w:hAnsi="Arial" w:cs="Arial"/>
          <w:b/>
        </w:rPr>
        <w:t>Educational attainment</w:t>
      </w:r>
    </w:p>
    <w:p w14:paraId="1CABC084" w14:textId="77777777" w:rsidR="006E3E6D" w:rsidRDefault="006E3E6D" w:rsidP="00BC57F5">
      <w:pPr>
        <w:pStyle w:val="NoSpacing"/>
        <w:rPr>
          <w:rFonts w:ascii="Arial" w:hAnsi="Arial" w:cs="Arial"/>
          <w:b/>
        </w:rPr>
      </w:pPr>
    </w:p>
    <w:p w14:paraId="2795B87C" w14:textId="4C9C2344" w:rsidR="00BC57F5" w:rsidRPr="00E4227B" w:rsidRDefault="00AF55DE" w:rsidP="00BC57F5">
      <w:pPr>
        <w:pStyle w:val="NoSpacing"/>
        <w:rPr>
          <w:rFonts w:ascii="Arial" w:hAnsi="Arial" w:cs="Arial"/>
          <w:i/>
          <w:iCs/>
          <w:color w:val="000000"/>
        </w:rPr>
      </w:pPr>
      <w:r w:rsidRPr="0087783B">
        <w:rPr>
          <w:rFonts w:ascii="Arial" w:hAnsi="Arial" w:cs="Arial"/>
          <w:b/>
        </w:rPr>
        <w:t>Key Stage 4</w:t>
      </w:r>
      <w:r>
        <w:rPr>
          <w:rFonts w:ascii="Arial" w:hAnsi="Arial" w:cs="Arial"/>
          <w:b/>
        </w:rPr>
        <w:t xml:space="preserve"> (KS4)</w:t>
      </w:r>
      <w:r>
        <w:rPr>
          <w:rFonts w:ascii="Arial" w:hAnsi="Arial" w:cs="Arial"/>
        </w:rPr>
        <w:t>.</w:t>
      </w:r>
      <w:r w:rsidRPr="00BC57F5">
        <w:rPr>
          <w:rFonts w:ascii="Arial" w:hAnsi="Arial" w:cs="Arial"/>
          <w:i/>
          <w:iCs/>
          <w:color w:val="000000" w:themeColor="text1"/>
        </w:rPr>
        <w:t xml:space="preserve"> </w:t>
      </w:r>
      <w:r w:rsidRPr="006E3E6D">
        <w:rPr>
          <w:rFonts w:ascii="Arial" w:hAnsi="Arial" w:cs="Arial"/>
          <w:color w:val="000000" w:themeColor="text1"/>
        </w:rPr>
        <w:t>2020/21 figures will be available in November 2021.</w:t>
      </w:r>
      <w:r w:rsidRPr="006E3E6D">
        <w:rPr>
          <w:rFonts w:ascii="Arial" w:hAnsi="Arial" w:cs="Arial"/>
          <w:i/>
          <w:iCs/>
          <w:color w:val="000000"/>
        </w:rPr>
        <w:t xml:space="preserve"> </w:t>
      </w:r>
    </w:p>
    <w:p w14:paraId="725AB5A0" w14:textId="77777777" w:rsidR="00931587" w:rsidRDefault="00931587" w:rsidP="00931587">
      <w:pPr>
        <w:pStyle w:val="NoSpacing"/>
        <w:jc w:val="both"/>
        <w:rPr>
          <w:rFonts w:ascii="Arial" w:hAnsi="Arial" w:cs="Arial"/>
        </w:rPr>
      </w:pPr>
    </w:p>
    <w:p w14:paraId="1CF6C0E0" w14:textId="3CDAA3FE" w:rsidR="00931587" w:rsidRDefault="00AF55DE" w:rsidP="00931587">
      <w:pPr>
        <w:pStyle w:val="NoSpacing"/>
        <w:jc w:val="both"/>
        <w:rPr>
          <w:rFonts w:ascii="Arial" w:hAnsi="Arial" w:cs="Arial"/>
        </w:rPr>
      </w:pPr>
      <w:r w:rsidRPr="78C3123E">
        <w:rPr>
          <w:rFonts w:ascii="Arial" w:hAnsi="Arial" w:cs="Arial"/>
          <w:b/>
          <w:bCs/>
        </w:rPr>
        <w:t xml:space="preserve">Early years Foundation Stage and Key Stage 2. </w:t>
      </w:r>
      <w:r w:rsidRPr="78C3123E">
        <w:rPr>
          <w:rFonts w:ascii="Arial" w:hAnsi="Arial" w:cs="Arial"/>
        </w:rPr>
        <w:t>Assessments did not take place for the period 2019/</w:t>
      </w:r>
      <w:r w:rsidR="7BCF4703" w:rsidRPr="78C3123E">
        <w:rPr>
          <w:rFonts w:ascii="Arial" w:hAnsi="Arial" w:cs="Arial"/>
        </w:rPr>
        <w:t>2</w:t>
      </w:r>
      <w:r w:rsidRPr="78C3123E">
        <w:rPr>
          <w:rFonts w:ascii="Arial" w:hAnsi="Arial" w:cs="Arial"/>
        </w:rPr>
        <w:t>0</w:t>
      </w:r>
      <w:r w:rsidR="4F1CD3F0" w:rsidRPr="78C3123E">
        <w:rPr>
          <w:rFonts w:ascii="Arial" w:hAnsi="Arial" w:cs="Arial"/>
        </w:rPr>
        <w:t xml:space="preserve"> and 2020/21</w:t>
      </w:r>
      <w:r w:rsidRPr="78C3123E">
        <w:rPr>
          <w:rFonts w:ascii="Arial" w:hAnsi="Arial" w:cs="Arial"/>
          <w:b/>
          <w:bCs/>
        </w:rPr>
        <w:t xml:space="preserve"> </w:t>
      </w:r>
      <w:r w:rsidR="49A93858" w:rsidRPr="78C3123E">
        <w:rPr>
          <w:rFonts w:ascii="Arial" w:hAnsi="Arial" w:cs="Arial"/>
        </w:rPr>
        <w:t>(EYFS not mandatory</w:t>
      </w:r>
      <w:r w:rsidR="34EF41A9" w:rsidRPr="78C3123E">
        <w:rPr>
          <w:rFonts w:ascii="Arial" w:hAnsi="Arial" w:cs="Arial"/>
        </w:rPr>
        <w:t xml:space="preserve"> during this period</w:t>
      </w:r>
      <w:r w:rsidR="49A93858" w:rsidRPr="78C3123E">
        <w:rPr>
          <w:rFonts w:ascii="Arial" w:hAnsi="Arial" w:cs="Arial"/>
        </w:rPr>
        <w:t xml:space="preserve">) </w:t>
      </w:r>
      <w:r w:rsidRPr="78C3123E">
        <w:rPr>
          <w:rFonts w:ascii="Arial" w:hAnsi="Arial" w:cs="Arial"/>
        </w:rPr>
        <w:t>hence the omission of performance updates under these areas.</w:t>
      </w:r>
    </w:p>
    <w:p w14:paraId="41520DB1" w14:textId="77777777" w:rsidR="00931587" w:rsidRDefault="00931587" w:rsidP="00931587">
      <w:pPr>
        <w:pStyle w:val="NoSpacing"/>
        <w:jc w:val="both"/>
        <w:rPr>
          <w:rFonts w:ascii="Arial" w:hAnsi="Arial" w:cs="Arial"/>
          <w:b/>
        </w:rPr>
      </w:pPr>
    </w:p>
    <w:tbl>
      <w:tblPr>
        <w:tblW w:w="13951" w:type="dxa"/>
        <w:tblLayout w:type="fixed"/>
        <w:tblLook w:val="04A0" w:firstRow="1" w:lastRow="0" w:firstColumn="1" w:lastColumn="0" w:noHBand="0" w:noVBand="1"/>
      </w:tblPr>
      <w:tblGrid>
        <w:gridCol w:w="3368"/>
        <w:gridCol w:w="1416"/>
        <w:gridCol w:w="1550"/>
        <w:gridCol w:w="850"/>
        <w:gridCol w:w="1133"/>
        <w:gridCol w:w="1560"/>
        <w:gridCol w:w="1108"/>
        <w:gridCol w:w="1833"/>
        <w:gridCol w:w="1133"/>
      </w:tblGrid>
      <w:tr w:rsidR="00BB349C" w14:paraId="4E8AEF54" w14:textId="77777777" w:rsidTr="62385CB5">
        <w:trPr>
          <w:trHeight w:val="300"/>
        </w:trPr>
        <w:tc>
          <w:tcPr>
            <w:tcW w:w="3368" w:type="dxa"/>
            <w:tcBorders>
              <w:top w:val="single" w:sz="8" w:space="0" w:color="auto"/>
              <w:left w:val="single" w:sz="8" w:space="0" w:color="auto"/>
              <w:bottom w:val="single" w:sz="8" w:space="0" w:color="auto"/>
              <w:right w:val="single" w:sz="8" w:space="0" w:color="auto"/>
            </w:tcBorders>
          </w:tcPr>
          <w:p w14:paraId="7755E0C6" w14:textId="1159FE7A" w:rsidR="0E9FFDBC" w:rsidRDefault="00AF55DE">
            <w:r w:rsidRPr="0E9FFDBC">
              <w:rPr>
                <w:rFonts w:eastAsia="Arial" w:cs="Arial"/>
                <w:b/>
                <w:bCs/>
                <w:sz w:val="22"/>
                <w:szCs w:val="22"/>
              </w:rPr>
              <w:t>Performance Indicator</w:t>
            </w:r>
          </w:p>
        </w:tc>
        <w:tc>
          <w:tcPr>
            <w:tcW w:w="1416" w:type="dxa"/>
            <w:tcBorders>
              <w:top w:val="single" w:sz="8" w:space="0" w:color="auto"/>
              <w:left w:val="single" w:sz="8" w:space="0" w:color="auto"/>
              <w:bottom w:val="single" w:sz="8" w:space="0" w:color="auto"/>
              <w:right w:val="single" w:sz="8" w:space="0" w:color="auto"/>
            </w:tcBorders>
          </w:tcPr>
          <w:p w14:paraId="3BDAB565" w14:textId="4BA716D2" w:rsidR="0E9FFDBC" w:rsidRDefault="00AF55DE">
            <w:r w:rsidRPr="0E9FFDBC">
              <w:rPr>
                <w:rFonts w:eastAsia="Arial" w:cs="Arial"/>
                <w:b/>
                <w:bCs/>
                <w:sz w:val="22"/>
                <w:szCs w:val="22"/>
              </w:rPr>
              <w:t>Frequency</w:t>
            </w:r>
          </w:p>
        </w:tc>
        <w:tc>
          <w:tcPr>
            <w:tcW w:w="1550" w:type="dxa"/>
            <w:tcBorders>
              <w:top w:val="single" w:sz="8" w:space="0" w:color="auto"/>
              <w:left w:val="single" w:sz="8" w:space="0" w:color="auto"/>
              <w:bottom w:val="single" w:sz="8" w:space="0" w:color="auto"/>
              <w:right w:val="single" w:sz="8" w:space="0" w:color="auto"/>
            </w:tcBorders>
          </w:tcPr>
          <w:p w14:paraId="5CB69AD5" w14:textId="6464D7B5" w:rsidR="0E9FFDBC" w:rsidRDefault="00AF55DE">
            <w:r w:rsidRPr="0E9FFDBC">
              <w:rPr>
                <w:rFonts w:eastAsia="Arial" w:cs="Arial"/>
                <w:b/>
                <w:bCs/>
                <w:sz w:val="22"/>
                <w:szCs w:val="22"/>
              </w:rPr>
              <w:t>Directorat</w:t>
            </w:r>
            <w:r w:rsidRPr="0E9FFDBC">
              <w:rPr>
                <w:rFonts w:eastAsia="Arial" w:cs="Arial"/>
                <w:b/>
                <w:bCs/>
                <w:sz w:val="22"/>
                <w:szCs w:val="22"/>
              </w:rPr>
              <w:t xml:space="preserve">e </w:t>
            </w:r>
          </w:p>
        </w:tc>
        <w:tc>
          <w:tcPr>
            <w:tcW w:w="850" w:type="dxa"/>
            <w:tcBorders>
              <w:top w:val="single" w:sz="8" w:space="0" w:color="auto"/>
              <w:left w:val="single" w:sz="8" w:space="0" w:color="auto"/>
              <w:bottom w:val="single" w:sz="8" w:space="0" w:color="auto"/>
              <w:right w:val="single" w:sz="8" w:space="0" w:color="auto"/>
            </w:tcBorders>
          </w:tcPr>
          <w:p w14:paraId="77FF87F6" w14:textId="3AC2312F" w:rsidR="0E9FFDBC" w:rsidRDefault="00AF55DE">
            <w:r w:rsidRPr="0E9FFDBC">
              <w:rPr>
                <w:rFonts w:eastAsia="Arial" w:cs="Arial"/>
                <w:b/>
                <w:bCs/>
                <w:sz w:val="22"/>
                <w:szCs w:val="22"/>
              </w:rPr>
              <w:t>Good is</w:t>
            </w:r>
          </w:p>
        </w:tc>
        <w:tc>
          <w:tcPr>
            <w:tcW w:w="1133" w:type="dxa"/>
            <w:tcBorders>
              <w:top w:val="single" w:sz="8" w:space="0" w:color="auto"/>
              <w:left w:val="single" w:sz="8" w:space="0" w:color="auto"/>
              <w:bottom w:val="single" w:sz="8" w:space="0" w:color="auto"/>
              <w:right w:val="single" w:sz="8" w:space="0" w:color="auto"/>
            </w:tcBorders>
            <w:shd w:val="clear" w:color="auto" w:fill="FFFFFF" w:themeFill="background1"/>
          </w:tcPr>
          <w:p w14:paraId="757BFC6F" w14:textId="73DFE04E" w:rsidR="0E9FFDBC" w:rsidRDefault="00AF55DE" w:rsidP="0E9FFDBC">
            <w:r w:rsidRPr="0E9FFDBC">
              <w:rPr>
                <w:rFonts w:eastAsia="Arial" w:cs="Arial"/>
                <w:b/>
                <w:bCs/>
                <w:sz w:val="22"/>
                <w:szCs w:val="22"/>
              </w:rPr>
              <w:t xml:space="preserve">2018/19 </w:t>
            </w:r>
          </w:p>
        </w:tc>
        <w:tc>
          <w:tcPr>
            <w:tcW w:w="1560" w:type="dxa"/>
            <w:tcBorders>
              <w:top w:val="single" w:sz="8" w:space="0" w:color="auto"/>
              <w:left w:val="single" w:sz="8" w:space="0" w:color="auto"/>
              <w:bottom w:val="single" w:sz="8" w:space="0" w:color="auto"/>
              <w:right w:val="single" w:sz="8" w:space="0" w:color="auto"/>
            </w:tcBorders>
          </w:tcPr>
          <w:p w14:paraId="1788D383" w14:textId="384231F8" w:rsidR="0E9FFDBC" w:rsidRDefault="00AF55DE">
            <w:r w:rsidRPr="0E9FFDBC">
              <w:rPr>
                <w:rFonts w:eastAsia="Arial" w:cs="Arial"/>
                <w:b/>
                <w:bCs/>
                <w:color w:val="000000" w:themeColor="text1"/>
                <w:sz w:val="22"/>
                <w:szCs w:val="22"/>
              </w:rPr>
              <w:t>2019-20</w:t>
            </w:r>
          </w:p>
        </w:tc>
        <w:tc>
          <w:tcPr>
            <w:tcW w:w="1108" w:type="dxa"/>
            <w:tcBorders>
              <w:top w:val="single" w:sz="8" w:space="0" w:color="auto"/>
              <w:left w:val="single" w:sz="8" w:space="0" w:color="auto"/>
              <w:bottom w:val="single" w:sz="8" w:space="0" w:color="auto"/>
              <w:right w:val="single" w:sz="8" w:space="0" w:color="auto"/>
            </w:tcBorders>
          </w:tcPr>
          <w:p w14:paraId="4DCE04E0" w14:textId="764E76A5" w:rsidR="0E9FFDBC" w:rsidRDefault="00AF55DE">
            <w:r w:rsidRPr="0E9FFDBC">
              <w:rPr>
                <w:rFonts w:eastAsia="Arial" w:cs="Arial"/>
                <w:b/>
                <w:bCs/>
                <w:color w:val="000000" w:themeColor="text1"/>
                <w:sz w:val="22"/>
                <w:szCs w:val="22"/>
              </w:rPr>
              <w:t>2020-21</w:t>
            </w:r>
          </w:p>
        </w:tc>
        <w:tc>
          <w:tcPr>
            <w:tcW w:w="1833" w:type="dxa"/>
            <w:tcBorders>
              <w:top w:val="single" w:sz="8" w:space="0" w:color="auto"/>
              <w:left w:val="single" w:sz="8" w:space="0" w:color="auto"/>
              <w:bottom w:val="nil"/>
              <w:right w:val="single" w:sz="8" w:space="0" w:color="auto"/>
            </w:tcBorders>
            <w:shd w:val="clear" w:color="auto" w:fill="FFFFFF" w:themeFill="background1"/>
          </w:tcPr>
          <w:p w14:paraId="6E353629" w14:textId="5B09071F" w:rsidR="0E9FFDBC" w:rsidRDefault="00AF55DE" w:rsidP="0E9FFDBC">
            <w:pPr>
              <w:rPr>
                <w:rFonts w:eastAsia="Arial" w:cs="Arial"/>
                <w:b/>
                <w:bCs/>
                <w:color w:val="000000" w:themeColor="text1"/>
                <w:sz w:val="22"/>
                <w:szCs w:val="22"/>
              </w:rPr>
            </w:pPr>
            <w:r w:rsidRPr="0E9FFDBC">
              <w:rPr>
                <w:rFonts w:eastAsia="Arial" w:cs="Arial"/>
                <w:b/>
                <w:bCs/>
                <w:color w:val="000000" w:themeColor="text1"/>
                <w:sz w:val="22"/>
                <w:szCs w:val="22"/>
              </w:rPr>
              <w:t>20</w:t>
            </w:r>
            <w:r w:rsidR="0AD98602" w:rsidRPr="0E9FFDBC">
              <w:rPr>
                <w:rFonts w:eastAsia="Arial" w:cs="Arial"/>
                <w:b/>
                <w:bCs/>
                <w:color w:val="000000" w:themeColor="text1"/>
                <w:sz w:val="22"/>
                <w:szCs w:val="22"/>
              </w:rPr>
              <w:t>2</w:t>
            </w:r>
            <w:r w:rsidR="0044E0E5" w:rsidRPr="0E9FFDBC">
              <w:rPr>
                <w:rFonts w:eastAsia="Arial" w:cs="Arial"/>
                <w:b/>
                <w:bCs/>
                <w:color w:val="000000" w:themeColor="text1"/>
                <w:sz w:val="22"/>
                <w:szCs w:val="22"/>
              </w:rPr>
              <w:t>1</w:t>
            </w:r>
            <w:r w:rsidRPr="0E9FFDBC">
              <w:rPr>
                <w:rFonts w:eastAsia="Arial" w:cs="Arial"/>
                <w:b/>
                <w:bCs/>
                <w:color w:val="000000" w:themeColor="text1"/>
                <w:sz w:val="22"/>
                <w:szCs w:val="22"/>
              </w:rPr>
              <w:t>-2</w:t>
            </w:r>
            <w:r w:rsidR="4CEF1D8C" w:rsidRPr="0E9FFDBC">
              <w:rPr>
                <w:rFonts w:eastAsia="Arial" w:cs="Arial"/>
                <w:b/>
                <w:bCs/>
                <w:color w:val="000000" w:themeColor="text1"/>
                <w:sz w:val="22"/>
                <w:szCs w:val="22"/>
              </w:rPr>
              <w:t>2</w:t>
            </w:r>
          </w:p>
        </w:tc>
        <w:tc>
          <w:tcPr>
            <w:tcW w:w="1133" w:type="dxa"/>
            <w:tcBorders>
              <w:top w:val="single" w:sz="8" w:space="0" w:color="auto"/>
              <w:left w:val="single" w:sz="8" w:space="0" w:color="auto"/>
              <w:bottom w:val="single" w:sz="8" w:space="0" w:color="auto"/>
              <w:right w:val="single" w:sz="8" w:space="0" w:color="auto"/>
            </w:tcBorders>
          </w:tcPr>
          <w:p w14:paraId="55547471" w14:textId="31AA95CD" w:rsidR="0E9FFDBC" w:rsidRDefault="00AF55DE">
            <w:r w:rsidRPr="62385CB5">
              <w:rPr>
                <w:rFonts w:eastAsia="Arial" w:cs="Arial"/>
                <w:b/>
                <w:bCs/>
                <w:sz w:val="22"/>
                <w:szCs w:val="22"/>
              </w:rPr>
              <w:t>202</w:t>
            </w:r>
            <w:r w:rsidR="16B70874" w:rsidRPr="62385CB5">
              <w:rPr>
                <w:rFonts w:eastAsia="Arial" w:cs="Arial"/>
                <w:b/>
                <w:bCs/>
                <w:sz w:val="22"/>
                <w:szCs w:val="22"/>
              </w:rPr>
              <w:t>1</w:t>
            </w:r>
            <w:r w:rsidRPr="62385CB5">
              <w:rPr>
                <w:rFonts w:eastAsia="Arial" w:cs="Arial"/>
                <w:b/>
                <w:bCs/>
                <w:sz w:val="22"/>
                <w:szCs w:val="22"/>
              </w:rPr>
              <w:t>/2</w:t>
            </w:r>
            <w:r w:rsidR="3EEF6343" w:rsidRPr="62385CB5">
              <w:rPr>
                <w:rFonts w:eastAsia="Arial" w:cs="Arial"/>
                <w:b/>
                <w:bCs/>
                <w:sz w:val="22"/>
                <w:szCs w:val="22"/>
              </w:rPr>
              <w:t>2</w:t>
            </w:r>
            <w:r w:rsidRPr="62385CB5">
              <w:rPr>
                <w:rFonts w:eastAsia="Arial" w:cs="Arial"/>
                <w:b/>
                <w:bCs/>
                <w:sz w:val="22"/>
                <w:szCs w:val="22"/>
              </w:rPr>
              <w:t xml:space="preserve"> Target</w:t>
            </w:r>
          </w:p>
        </w:tc>
      </w:tr>
      <w:tr w:rsidR="00BB349C" w14:paraId="447B0ACB" w14:textId="77777777" w:rsidTr="62385CB5">
        <w:trPr>
          <w:trHeight w:val="960"/>
        </w:trPr>
        <w:tc>
          <w:tcPr>
            <w:tcW w:w="3368" w:type="dxa"/>
            <w:tcBorders>
              <w:top w:val="single" w:sz="8" w:space="0" w:color="auto"/>
              <w:left w:val="single" w:sz="8" w:space="0" w:color="auto"/>
              <w:bottom w:val="single" w:sz="8" w:space="0" w:color="auto"/>
              <w:right w:val="single" w:sz="8" w:space="0" w:color="auto"/>
            </w:tcBorders>
          </w:tcPr>
          <w:p w14:paraId="55636404" w14:textId="2009E315" w:rsidR="0E9FFDBC" w:rsidRDefault="00AF55DE">
            <w:r w:rsidRPr="0E9FFDBC">
              <w:rPr>
                <w:rFonts w:eastAsia="Arial" w:cs="Arial"/>
                <w:sz w:val="22"/>
                <w:szCs w:val="22"/>
              </w:rPr>
              <w:t>Percentage primary pupils offered one of top three preferences</w:t>
            </w:r>
          </w:p>
        </w:tc>
        <w:tc>
          <w:tcPr>
            <w:tcW w:w="1416" w:type="dxa"/>
            <w:tcBorders>
              <w:top w:val="single" w:sz="8" w:space="0" w:color="auto"/>
              <w:left w:val="single" w:sz="8" w:space="0" w:color="auto"/>
              <w:bottom w:val="single" w:sz="8" w:space="0" w:color="auto"/>
              <w:right w:val="single" w:sz="8" w:space="0" w:color="auto"/>
            </w:tcBorders>
          </w:tcPr>
          <w:p w14:paraId="0A12A2D6" w14:textId="51DEFB58" w:rsidR="0E9FFDBC" w:rsidRDefault="00AF55DE">
            <w:r w:rsidRPr="0E9FFDBC">
              <w:rPr>
                <w:rFonts w:eastAsia="Arial" w:cs="Arial"/>
                <w:sz w:val="22"/>
                <w:szCs w:val="22"/>
              </w:rPr>
              <w:t>Annual</w:t>
            </w:r>
          </w:p>
        </w:tc>
        <w:tc>
          <w:tcPr>
            <w:tcW w:w="1550" w:type="dxa"/>
            <w:tcBorders>
              <w:top w:val="single" w:sz="8" w:space="0" w:color="auto"/>
              <w:left w:val="single" w:sz="8" w:space="0" w:color="auto"/>
              <w:bottom w:val="single" w:sz="8" w:space="0" w:color="auto"/>
              <w:right w:val="single" w:sz="8" w:space="0" w:color="auto"/>
            </w:tcBorders>
          </w:tcPr>
          <w:p w14:paraId="58E0CAAD" w14:textId="64387ECC" w:rsidR="0E9FFDBC" w:rsidRDefault="00AF55DE">
            <w:r w:rsidRPr="0E9FFDBC">
              <w:rPr>
                <w:rFonts w:eastAsia="Arial" w:cs="Arial"/>
                <w:sz w:val="22"/>
                <w:szCs w:val="22"/>
              </w:rPr>
              <w:t>Education and Children's Services</w:t>
            </w:r>
          </w:p>
        </w:tc>
        <w:tc>
          <w:tcPr>
            <w:tcW w:w="850" w:type="dxa"/>
            <w:tcBorders>
              <w:top w:val="single" w:sz="8" w:space="0" w:color="auto"/>
              <w:left w:val="single" w:sz="8" w:space="0" w:color="auto"/>
              <w:bottom w:val="single" w:sz="8" w:space="0" w:color="auto"/>
              <w:right w:val="single" w:sz="8" w:space="0" w:color="auto"/>
            </w:tcBorders>
          </w:tcPr>
          <w:p w14:paraId="7AFC2B6A" w14:textId="47EC5D7E" w:rsidR="0E9FFDBC" w:rsidRDefault="00AF55DE">
            <w:r w:rsidRPr="0E9FFDBC">
              <w:rPr>
                <w:rFonts w:eastAsia="Arial" w:cs="Arial"/>
                <w:sz w:val="22"/>
                <w:szCs w:val="22"/>
              </w:rPr>
              <w:t>High</w:t>
            </w:r>
          </w:p>
        </w:tc>
        <w:tc>
          <w:tcPr>
            <w:tcW w:w="1133"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14:paraId="58003D28" w14:textId="0E338A23" w:rsidR="0E9FFDBC" w:rsidRDefault="00AF55DE">
            <w:r w:rsidRPr="0E9FFDBC">
              <w:rPr>
                <w:rFonts w:eastAsia="Arial" w:cs="Arial"/>
                <w:color w:val="000000" w:themeColor="text1"/>
                <w:sz w:val="22"/>
                <w:szCs w:val="22"/>
              </w:rPr>
              <w:t xml:space="preserve">97.9% </w:t>
            </w:r>
          </w:p>
          <w:p w14:paraId="77FF604B" w14:textId="35586DEA" w:rsidR="0E9FFDBC" w:rsidRDefault="00AF55DE">
            <w:r w:rsidRPr="0E9FFDBC">
              <w:rPr>
                <w:rFonts w:eastAsia="Arial" w:cs="Arial"/>
                <w:color w:val="000000" w:themeColor="text1"/>
                <w:sz w:val="22"/>
                <w:szCs w:val="22"/>
              </w:rPr>
              <w:t>(April 19)</w:t>
            </w:r>
          </w:p>
        </w:tc>
        <w:tc>
          <w:tcPr>
            <w:tcW w:w="1560"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14:paraId="0F8101F1" w14:textId="3B8B3EE1" w:rsidR="0E9FFDBC" w:rsidRDefault="00AF55DE">
            <w:r w:rsidRPr="0E9FFDBC">
              <w:rPr>
                <w:rFonts w:eastAsia="Arial" w:cs="Arial"/>
                <w:color w:val="000000" w:themeColor="text1"/>
                <w:sz w:val="22"/>
                <w:szCs w:val="22"/>
              </w:rPr>
              <w:t>97.1%</w:t>
            </w:r>
            <w:r>
              <w:br/>
            </w:r>
            <w:r w:rsidRPr="0E9FFDBC">
              <w:rPr>
                <w:rFonts w:eastAsia="Arial" w:cs="Arial"/>
                <w:color w:val="000000" w:themeColor="text1"/>
                <w:sz w:val="22"/>
                <w:szCs w:val="22"/>
              </w:rPr>
              <w:t xml:space="preserve"> (April 20)</w:t>
            </w:r>
          </w:p>
        </w:tc>
        <w:tc>
          <w:tcPr>
            <w:tcW w:w="1108"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14:paraId="27B6D67B" w14:textId="32FEAF68" w:rsidR="0E9FFDBC" w:rsidRDefault="00AF55DE">
            <w:r w:rsidRPr="0E9FFDBC">
              <w:rPr>
                <w:rFonts w:eastAsia="Arial" w:cs="Arial"/>
                <w:color w:val="000000" w:themeColor="text1"/>
                <w:sz w:val="22"/>
                <w:szCs w:val="22"/>
              </w:rPr>
              <w:t>97.1%</w:t>
            </w:r>
            <w:r>
              <w:br/>
            </w:r>
            <w:r w:rsidRPr="0E9FFDBC">
              <w:rPr>
                <w:rFonts w:eastAsia="Arial" w:cs="Arial"/>
                <w:color w:val="000000" w:themeColor="text1"/>
                <w:sz w:val="22"/>
                <w:szCs w:val="22"/>
              </w:rPr>
              <w:t xml:space="preserve"> (April 21)</w:t>
            </w:r>
          </w:p>
        </w:tc>
        <w:tc>
          <w:tcPr>
            <w:tcW w:w="1833"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14:paraId="60867CED" w14:textId="415012FB" w:rsidR="0E9FFDBC" w:rsidRDefault="00AF55DE">
            <w:r w:rsidRPr="0E9FFDBC">
              <w:rPr>
                <w:rFonts w:eastAsia="Arial" w:cs="Arial"/>
                <w:color w:val="000000" w:themeColor="text1"/>
                <w:sz w:val="22"/>
                <w:szCs w:val="22"/>
              </w:rPr>
              <w:t>9</w:t>
            </w:r>
            <w:r w:rsidR="27C7CD5A" w:rsidRPr="0E9FFDBC">
              <w:rPr>
                <w:rFonts w:eastAsia="Arial" w:cs="Arial"/>
                <w:color w:val="000000" w:themeColor="text1"/>
                <w:sz w:val="22"/>
                <w:szCs w:val="22"/>
              </w:rPr>
              <w:t>8</w:t>
            </w:r>
            <w:r w:rsidRPr="0E9FFDBC">
              <w:rPr>
                <w:rFonts w:eastAsia="Arial" w:cs="Arial"/>
                <w:color w:val="000000" w:themeColor="text1"/>
                <w:sz w:val="22"/>
                <w:szCs w:val="22"/>
              </w:rPr>
              <w:t>.</w:t>
            </w:r>
            <w:r w:rsidR="01F30107" w:rsidRPr="0E9FFDBC">
              <w:rPr>
                <w:rFonts w:eastAsia="Arial" w:cs="Arial"/>
                <w:color w:val="000000" w:themeColor="text1"/>
                <w:sz w:val="22"/>
                <w:szCs w:val="22"/>
              </w:rPr>
              <w:t>6</w:t>
            </w:r>
            <w:r w:rsidRPr="0E9FFDBC">
              <w:rPr>
                <w:rFonts w:eastAsia="Arial" w:cs="Arial"/>
                <w:color w:val="000000" w:themeColor="text1"/>
                <w:sz w:val="22"/>
                <w:szCs w:val="22"/>
              </w:rPr>
              <w:t>%</w:t>
            </w:r>
            <w:r>
              <w:br/>
            </w:r>
            <w:r w:rsidRPr="0E9FFDBC">
              <w:rPr>
                <w:rFonts w:eastAsia="Arial" w:cs="Arial"/>
                <w:color w:val="000000" w:themeColor="text1"/>
                <w:sz w:val="22"/>
                <w:szCs w:val="22"/>
              </w:rPr>
              <w:t xml:space="preserve"> (April 2</w:t>
            </w:r>
            <w:r w:rsidR="2020CBC6" w:rsidRPr="0E9FFDBC">
              <w:rPr>
                <w:rFonts w:eastAsia="Arial" w:cs="Arial"/>
                <w:color w:val="000000" w:themeColor="text1"/>
                <w:sz w:val="22"/>
                <w:szCs w:val="22"/>
              </w:rPr>
              <w:t>1</w:t>
            </w:r>
            <w:r w:rsidRPr="0E9FFDBC">
              <w:rPr>
                <w:rFonts w:eastAsia="Arial" w:cs="Arial"/>
                <w:color w:val="000000" w:themeColor="text1"/>
                <w:sz w:val="22"/>
                <w:szCs w:val="22"/>
              </w:rPr>
              <w:t>)</w:t>
            </w:r>
          </w:p>
        </w:tc>
        <w:tc>
          <w:tcPr>
            <w:tcW w:w="1133" w:type="dxa"/>
            <w:tcBorders>
              <w:top w:val="single" w:sz="8" w:space="0" w:color="auto"/>
              <w:left w:val="single" w:sz="8" w:space="0" w:color="auto"/>
              <w:bottom w:val="single" w:sz="8" w:space="0" w:color="auto"/>
              <w:right w:val="single" w:sz="8" w:space="0" w:color="auto"/>
            </w:tcBorders>
          </w:tcPr>
          <w:p w14:paraId="42D53F0D" w14:textId="00B1072D" w:rsidR="0E9FFDBC" w:rsidRDefault="00AF55DE">
            <w:r w:rsidRPr="0E9FFDBC">
              <w:rPr>
                <w:rFonts w:eastAsia="Arial" w:cs="Arial"/>
                <w:sz w:val="22"/>
                <w:szCs w:val="22"/>
              </w:rPr>
              <w:t>Maintain Quartile 2</w:t>
            </w:r>
          </w:p>
        </w:tc>
      </w:tr>
      <w:tr w:rsidR="00BB349C" w14:paraId="2431CF5E" w14:textId="77777777" w:rsidTr="62385CB5">
        <w:trPr>
          <w:trHeight w:val="960"/>
        </w:trPr>
        <w:tc>
          <w:tcPr>
            <w:tcW w:w="3368" w:type="dxa"/>
            <w:tcBorders>
              <w:top w:val="single" w:sz="8" w:space="0" w:color="auto"/>
              <w:left w:val="single" w:sz="8" w:space="0" w:color="auto"/>
              <w:bottom w:val="single" w:sz="8" w:space="0" w:color="auto"/>
              <w:right w:val="single" w:sz="8" w:space="0" w:color="auto"/>
            </w:tcBorders>
          </w:tcPr>
          <w:p w14:paraId="61D6EBE6" w14:textId="5B33C1A6" w:rsidR="0E9FFDBC" w:rsidRDefault="00AF55DE">
            <w:r w:rsidRPr="0E9FFDBC">
              <w:rPr>
                <w:rFonts w:eastAsia="Arial" w:cs="Arial"/>
                <w:sz w:val="22"/>
                <w:szCs w:val="22"/>
              </w:rPr>
              <w:t>Percentage secondary pupils offered one of top three preferences</w:t>
            </w:r>
          </w:p>
          <w:p w14:paraId="28089665" w14:textId="3DA67BF0" w:rsidR="0E9FFDBC" w:rsidRDefault="00AF55DE">
            <w:r w:rsidRPr="0E9FFDBC">
              <w:rPr>
                <w:rFonts w:eastAsia="Arial" w:cs="Arial"/>
                <w:i/>
                <w:iCs/>
                <w:sz w:val="22"/>
                <w:szCs w:val="22"/>
              </w:rPr>
              <w:t xml:space="preserve"> </w:t>
            </w:r>
          </w:p>
        </w:tc>
        <w:tc>
          <w:tcPr>
            <w:tcW w:w="1416" w:type="dxa"/>
            <w:tcBorders>
              <w:top w:val="single" w:sz="8" w:space="0" w:color="auto"/>
              <w:left w:val="single" w:sz="8" w:space="0" w:color="auto"/>
              <w:bottom w:val="single" w:sz="8" w:space="0" w:color="auto"/>
              <w:right w:val="single" w:sz="8" w:space="0" w:color="auto"/>
            </w:tcBorders>
          </w:tcPr>
          <w:p w14:paraId="6A470C07" w14:textId="004C0577" w:rsidR="0E9FFDBC" w:rsidRDefault="00AF55DE">
            <w:r w:rsidRPr="0E9FFDBC">
              <w:rPr>
                <w:rFonts w:eastAsia="Arial" w:cs="Arial"/>
                <w:sz w:val="22"/>
                <w:szCs w:val="22"/>
              </w:rPr>
              <w:t>Annual</w:t>
            </w:r>
          </w:p>
        </w:tc>
        <w:tc>
          <w:tcPr>
            <w:tcW w:w="1550" w:type="dxa"/>
            <w:tcBorders>
              <w:top w:val="single" w:sz="8" w:space="0" w:color="auto"/>
              <w:left w:val="single" w:sz="8" w:space="0" w:color="auto"/>
              <w:bottom w:val="single" w:sz="8" w:space="0" w:color="auto"/>
              <w:right w:val="single" w:sz="8" w:space="0" w:color="auto"/>
            </w:tcBorders>
          </w:tcPr>
          <w:p w14:paraId="0B3AC6F6" w14:textId="0388894F" w:rsidR="0E9FFDBC" w:rsidRDefault="00AF55DE">
            <w:r w:rsidRPr="0E9FFDBC">
              <w:rPr>
                <w:rFonts w:eastAsia="Arial" w:cs="Arial"/>
                <w:sz w:val="22"/>
                <w:szCs w:val="22"/>
              </w:rPr>
              <w:t>Education and Children's Services</w:t>
            </w:r>
          </w:p>
        </w:tc>
        <w:tc>
          <w:tcPr>
            <w:tcW w:w="850" w:type="dxa"/>
            <w:tcBorders>
              <w:top w:val="single" w:sz="8" w:space="0" w:color="auto"/>
              <w:left w:val="single" w:sz="8" w:space="0" w:color="auto"/>
              <w:bottom w:val="single" w:sz="8" w:space="0" w:color="auto"/>
              <w:right w:val="single" w:sz="8" w:space="0" w:color="auto"/>
            </w:tcBorders>
          </w:tcPr>
          <w:p w14:paraId="3DF970C5" w14:textId="20B5BB26" w:rsidR="0E9FFDBC" w:rsidRDefault="00AF55DE">
            <w:r w:rsidRPr="0E9FFDBC">
              <w:rPr>
                <w:rFonts w:eastAsia="Arial" w:cs="Arial"/>
                <w:sz w:val="22"/>
                <w:szCs w:val="22"/>
              </w:rPr>
              <w:t>High</w:t>
            </w:r>
          </w:p>
        </w:tc>
        <w:tc>
          <w:tcPr>
            <w:tcW w:w="1133"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14:paraId="2A6657A9" w14:textId="2CA02C6F" w:rsidR="0E9FFDBC" w:rsidRDefault="00AF55DE">
            <w:r w:rsidRPr="0E9FFDBC">
              <w:rPr>
                <w:rFonts w:eastAsia="Arial" w:cs="Arial"/>
                <w:color w:val="000000" w:themeColor="text1"/>
                <w:sz w:val="22"/>
                <w:szCs w:val="22"/>
              </w:rPr>
              <w:t xml:space="preserve">95.3% </w:t>
            </w:r>
          </w:p>
          <w:p w14:paraId="3CA88FD2" w14:textId="7736A664" w:rsidR="0E9FFDBC" w:rsidRDefault="00AF55DE">
            <w:r w:rsidRPr="0E9FFDBC">
              <w:rPr>
                <w:rFonts w:eastAsia="Arial" w:cs="Arial"/>
                <w:color w:val="000000" w:themeColor="text1"/>
                <w:sz w:val="22"/>
                <w:szCs w:val="22"/>
              </w:rPr>
              <w:t>(March 19)</w:t>
            </w:r>
          </w:p>
        </w:tc>
        <w:tc>
          <w:tcPr>
            <w:tcW w:w="1560"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14:paraId="61E6690A" w14:textId="500EF014" w:rsidR="0E9FFDBC" w:rsidRDefault="00AF55DE">
            <w:r w:rsidRPr="0E9FFDBC">
              <w:rPr>
                <w:rFonts w:eastAsia="Arial" w:cs="Arial"/>
                <w:color w:val="000000" w:themeColor="text1"/>
                <w:sz w:val="22"/>
                <w:szCs w:val="22"/>
              </w:rPr>
              <w:t>95.3%</w:t>
            </w:r>
          </w:p>
          <w:p w14:paraId="7930C3FC" w14:textId="39CD4E23" w:rsidR="0E9FFDBC" w:rsidRDefault="00AF55DE" w:rsidP="0E9FFDBC">
            <w:pPr>
              <w:rPr>
                <w:rFonts w:eastAsia="Arial" w:cs="Arial"/>
                <w:color w:val="000000" w:themeColor="text1"/>
                <w:sz w:val="22"/>
                <w:szCs w:val="22"/>
              </w:rPr>
            </w:pPr>
            <w:r w:rsidRPr="0E9FFDBC">
              <w:rPr>
                <w:rFonts w:eastAsia="Arial" w:cs="Arial"/>
                <w:color w:val="000000" w:themeColor="text1"/>
                <w:sz w:val="22"/>
                <w:szCs w:val="22"/>
              </w:rPr>
              <w:t>(March 20)</w:t>
            </w:r>
          </w:p>
        </w:tc>
        <w:tc>
          <w:tcPr>
            <w:tcW w:w="1108"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14:paraId="634A7EBC" w14:textId="500EF014" w:rsidR="0E9FFDBC" w:rsidRDefault="00AF55DE">
            <w:r w:rsidRPr="0E9FFDBC">
              <w:rPr>
                <w:rFonts w:eastAsia="Arial" w:cs="Arial"/>
                <w:color w:val="000000" w:themeColor="text1"/>
                <w:sz w:val="22"/>
                <w:szCs w:val="22"/>
              </w:rPr>
              <w:t>95.3%</w:t>
            </w:r>
          </w:p>
          <w:p w14:paraId="23FB4489" w14:textId="0B8B3FE3" w:rsidR="0E9FFDBC" w:rsidRDefault="00AF55DE">
            <w:r w:rsidRPr="0E9FFDBC">
              <w:rPr>
                <w:rFonts w:eastAsia="Arial" w:cs="Arial"/>
                <w:color w:val="000000" w:themeColor="text1"/>
                <w:sz w:val="22"/>
                <w:szCs w:val="22"/>
              </w:rPr>
              <w:t>(March 21)</w:t>
            </w:r>
          </w:p>
        </w:tc>
        <w:tc>
          <w:tcPr>
            <w:tcW w:w="1833"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14:paraId="40D75BD8" w14:textId="408FF569" w:rsidR="0E9FFDBC" w:rsidRDefault="00AF55DE">
            <w:r w:rsidRPr="0E9FFDBC">
              <w:rPr>
                <w:rFonts w:eastAsia="Arial" w:cs="Arial"/>
                <w:color w:val="000000" w:themeColor="text1"/>
                <w:sz w:val="22"/>
                <w:szCs w:val="22"/>
              </w:rPr>
              <w:t>9</w:t>
            </w:r>
            <w:r w:rsidR="5B93B475" w:rsidRPr="0E9FFDBC">
              <w:rPr>
                <w:rFonts w:eastAsia="Arial" w:cs="Arial"/>
                <w:color w:val="000000" w:themeColor="text1"/>
                <w:sz w:val="22"/>
                <w:szCs w:val="22"/>
              </w:rPr>
              <w:t>6</w:t>
            </w:r>
            <w:r w:rsidRPr="0E9FFDBC">
              <w:rPr>
                <w:rFonts w:eastAsia="Arial" w:cs="Arial"/>
                <w:color w:val="000000" w:themeColor="text1"/>
                <w:sz w:val="22"/>
                <w:szCs w:val="22"/>
              </w:rPr>
              <w:t>.3%</w:t>
            </w:r>
          </w:p>
          <w:p w14:paraId="7E0E51C4" w14:textId="0B8B3FE3" w:rsidR="0E9FFDBC" w:rsidRDefault="00AF55DE">
            <w:r w:rsidRPr="0E9FFDBC">
              <w:rPr>
                <w:rFonts w:eastAsia="Arial" w:cs="Arial"/>
                <w:color w:val="000000" w:themeColor="text1"/>
                <w:sz w:val="22"/>
                <w:szCs w:val="22"/>
              </w:rPr>
              <w:t>(</w:t>
            </w:r>
            <w:r w:rsidR="5D0EC3A4" w:rsidRPr="0E9FFDBC">
              <w:rPr>
                <w:rFonts w:eastAsia="Arial" w:cs="Arial"/>
                <w:color w:val="000000" w:themeColor="text1"/>
                <w:sz w:val="22"/>
                <w:szCs w:val="22"/>
              </w:rPr>
              <w:t>March</w:t>
            </w:r>
            <w:r w:rsidRPr="0E9FFDBC">
              <w:rPr>
                <w:rFonts w:eastAsia="Arial" w:cs="Arial"/>
                <w:color w:val="000000" w:themeColor="text1"/>
                <w:sz w:val="22"/>
                <w:szCs w:val="22"/>
              </w:rPr>
              <w:t xml:space="preserve"> 2</w:t>
            </w:r>
            <w:r w:rsidR="38235F88" w:rsidRPr="0E9FFDBC">
              <w:rPr>
                <w:rFonts w:eastAsia="Arial" w:cs="Arial"/>
                <w:color w:val="000000" w:themeColor="text1"/>
                <w:sz w:val="22"/>
                <w:szCs w:val="22"/>
              </w:rPr>
              <w:t>1</w:t>
            </w:r>
            <w:r w:rsidRPr="0E9FFDBC">
              <w:rPr>
                <w:rFonts w:eastAsia="Arial" w:cs="Arial"/>
                <w:color w:val="000000" w:themeColor="text1"/>
                <w:sz w:val="22"/>
                <w:szCs w:val="22"/>
              </w:rPr>
              <w:t>)</w:t>
            </w:r>
          </w:p>
        </w:tc>
        <w:tc>
          <w:tcPr>
            <w:tcW w:w="1133" w:type="dxa"/>
            <w:tcBorders>
              <w:top w:val="single" w:sz="8" w:space="0" w:color="auto"/>
              <w:left w:val="single" w:sz="8" w:space="0" w:color="auto"/>
              <w:bottom w:val="single" w:sz="8" w:space="0" w:color="auto"/>
              <w:right w:val="single" w:sz="8" w:space="0" w:color="auto"/>
            </w:tcBorders>
          </w:tcPr>
          <w:p w14:paraId="064C925F" w14:textId="53C299CA" w:rsidR="0E9FFDBC" w:rsidRDefault="00AF55DE">
            <w:r w:rsidRPr="0E9FFDBC">
              <w:rPr>
                <w:rFonts w:eastAsia="Arial" w:cs="Arial"/>
                <w:sz w:val="22"/>
                <w:szCs w:val="22"/>
              </w:rPr>
              <w:t xml:space="preserve">Maintain Quartile 2 </w:t>
            </w:r>
          </w:p>
        </w:tc>
      </w:tr>
    </w:tbl>
    <w:p w14:paraId="29EC6B44" w14:textId="77777777" w:rsidR="00EF7259" w:rsidRDefault="00AF55DE" w:rsidP="78C3123E">
      <w:pPr>
        <w:rPr>
          <w:rFonts w:cs="Arial"/>
        </w:rPr>
      </w:pPr>
      <w:r w:rsidRPr="78C3123E">
        <w:rPr>
          <w:rFonts w:eastAsia="Arial" w:cs="Arial"/>
          <w:b/>
          <w:bCs/>
          <w:color w:val="000000" w:themeColor="text1"/>
          <w:sz w:val="22"/>
          <w:szCs w:val="22"/>
        </w:rPr>
        <w:t>School placements</w:t>
      </w:r>
      <w:r w:rsidRPr="78C3123E">
        <w:rPr>
          <w:rFonts w:eastAsia="Arial" w:cs="Arial"/>
          <w:color w:val="000000" w:themeColor="text1"/>
          <w:sz w:val="22"/>
          <w:szCs w:val="22"/>
        </w:rPr>
        <w:t xml:space="preserve">. The updated school placements data suggest Lancashire performance </w:t>
      </w:r>
      <w:r w:rsidR="69CA34B2" w:rsidRPr="78C3123E">
        <w:rPr>
          <w:rFonts w:eastAsia="Arial" w:cs="Arial"/>
          <w:color w:val="000000" w:themeColor="text1"/>
          <w:sz w:val="22"/>
          <w:szCs w:val="22"/>
        </w:rPr>
        <w:t xml:space="preserve">improved and </w:t>
      </w:r>
      <w:r w:rsidRPr="78C3123E">
        <w:rPr>
          <w:rFonts w:eastAsia="Arial" w:cs="Arial"/>
          <w:color w:val="000000" w:themeColor="text1"/>
          <w:sz w:val="22"/>
          <w:szCs w:val="22"/>
        </w:rPr>
        <w:t>remains on target in relation to pupils being offered one of top three preferences at primary and secondary level with both indicators maintaining quartile two positioning nat</w:t>
      </w:r>
      <w:r w:rsidRPr="78C3123E">
        <w:rPr>
          <w:rFonts w:eastAsia="Arial" w:cs="Arial"/>
          <w:color w:val="000000" w:themeColor="text1"/>
          <w:sz w:val="22"/>
          <w:szCs w:val="22"/>
        </w:rPr>
        <w:t>ionally.</w:t>
      </w:r>
      <w:r w:rsidR="0D8F60A6">
        <w:br/>
      </w:r>
      <w:r w:rsidR="0D8F60A6">
        <w:br/>
      </w:r>
      <w:r w:rsidR="605DD66C" w:rsidRPr="78C3123E">
        <w:rPr>
          <w:rFonts w:eastAsia="Arial" w:cs="Arial"/>
          <w:color w:val="000000" w:themeColor="text1"/>
          <w:sz w:val="22"/>
          <w:szCs w:val="22"/>
        </w:rPr>
        <w:t xml:space="preserve">There has been a significant drop in the number of primary school applications made for the September intake. This was predicted by the School Place Planning Team </w:t>
      </w:r>
      <w:r w:rsidR="7DF87A33" w:rsidRPr="78C3123E">
        <w:rPr>
          <w:rFonts w:eastAsia="Arial" w:cs="Arial"/>
          <w:color w:val="000000" w:themeColor="text1"/>
          <w:sz w:val="22"/>
          <w:szCs w:val="22"/>
        </w:rPr>
        <w:t>and</w:t>
      </w:r>
      <w:r w:rsidR="605DD66C" w:rsidRPr="78C3123E">
        <w:rPr>
          <w:rFonts w:eastAsia="Arial" w:cs="Arial"/>
          <w:color w:val="000000" w:themeColor="text1"/>
          <w:sz w:val="22"/>
          <w:szCs w:val="22"/>
        </w:rPr>
        <w:t xml:space="preserve"> </w:t>
      </w:r>
      <w:r w:rsidR="50A3D8BA" w:rsidRPr="78C3123E">
        <w:rPr>
          <w:rFonts w:eastAsia="Arial" w:cs="Arial"/>
          <w:color w:val="000000" w:themeColor="text1"/>
          <w:sz w:val="22"/>
          <w:szCs w:val="22"/>
        </w:rPr>
        <w:t>means that some</w:t>
      </w:r>
      <w:r w:rsidR="605DD66C" w:rsidRPr="78C3123E">
        <w:rPr>
          <w:rFonts w:eastAsia="Arial" w:cs="Arial"/>
          <w:color w:val="000000" w:themeColor="text1"/>
          <w:sz w:val="22"/>
          <w:szCs w:val="22"/>
        </w:rPr>
        <w:t xml:space="preserve"> schools </w:t>
      </w:r>
      <w:r w:rsidR="6D50C809" w:rsidRPr="78C3123E">
        <w:rPr>
          <w:rFonts w:eastAsia="Arial" w:cs="Arial"/>
          <w:color w:val="000000" w:themeColor="text1"/>
          <w:sz w:val="22"/>
          <w:szCs w:val="22"/>
        </w:rPr>
        <w:t>had</w:t>
      </w:r>
      <w:r w:rsidR="605DD66C" w:rsidRPr="78C3123E">
        <w:rPr>
          <w:rFonts w:eastAsia="Arial" w:cs="Arial"/>
          <w:color w:val="000000" w:themeColor="text1"/>
          <w:sz w:val="22"/>
          <w:szCs w:val="22"/>
        </w:rPr>
        <w:t xml:space="preserve"> far fewer admissions to the Reception Year than pupils leaving in Year 6. The overall percentage of parents receiving a first preference primary school has increased by nearly three percentage points since last year. The number of parents being offered a school that was not one of their three preferences has decreased by 1.5 percentage points compared to last year.</w:t>
      </w:r>
      <w:r w:rsidR="55231B2D" w:rsidRPr="78C3123E">
        <w:rPr>
          <w:rFonts w:eastAsia="Arial" w:cs="Arial"/>
          <w:color w:val="000000" w:themeColor="text1"/>
          <w:sz w:val="22"/>
          <w:szCs w:val="22"/>
        </w:rPr>
        <w:t xml:space="preserve"> The School Admissions Team continues to work closely with Corporate Communications on a successful publicity campaign which has been effective in reducing the number of late applications received, after the closing date, in recent years.</w:t>
      </w:r>
      <w:r w:rsidR="55231B2D" w:rsidRPr="78C3123E">
        <w:rPr>
          <w:rFonts w:eastAsia="Arial" w:cs="Arial"/>
          <w:sz w:val="22"/>
          <w:szCs w:val="22"/>
        </w:rPr>
        <w:t xml:space="preserve">  </w:t>
      </w:r>
    </w:p>
    <w:p w14:paraId="032776F2" w14:textId="0D41A1E4" w:rsidR="003435BD" w:rsidRPr="00EF7259" w:rsidRDefault="00AF55DE" w:rsidP="78C3123E">
      <w:pPr>
        <w:rPr>
          <w:rFonts w:cs="Arial"/>
        </w:rPr>
      </w:pPr>
      <w:r w:rsidRPr="001B765A">
        <w:rPr>
          <w:rFonts w:cs="Arial"/>
          <w:b/>
          <w:bCs/>
          <w:color w:val="auto"/>
          <w:sz w:val="22"/>
          <w:szCs w:val="22"/>
        </w:rPr>
        <w:lastRenderedPageBreak/>
        <w:t>Health Checks</w:t>
      </w:r>
      <w:r w:rsidRPr="001B765A">
        <w:rPr>
          <w:rFonts w:cs="Arial"/>
          <w:color w:val="FF0000"/>
          <w:sz w:val="22"/>
          <w:szCs w:val="22"/>
        </w:rPr>
        <w:t xml:space="preserve">. </w:t>
      </w:r>
      <w:r w:rsidRPr="001B765A">
        <w:rPr>
          <w:color w:val="FF0000"/>
          <w:sz w:val="22"/>
          <w:szCs w:val="22"/>
        </w:rPr>
        <w:t xml:space="preserve"> </w:t>
      </w:r>
      <w:r w:rsidRPr="001B765A">
        <w:rPr>
          <w:color w:val="auto"/>
          <w:sz w:val="22"/>
          <w:szCs w:val="22"/>
        </w:rPr>
        <w:t>Delivery is mainly through GP practices in primary care, with a small amount of provision from other commissioned services in workplaces and in</w:t>
      </w:r>
      <w:r w:rsidRPr="001B765A">
        <w:rPr>
          <w:color w:val="auto"/>
          <w:sz w:val="22"/>
          <w:szCs w:val="22"/>
        </w:rPr>
        <w:t xml:space="preserve"> community settings.  </w:t>
      </w:r>
      <w:r w:rsidR="0AF047E2" w:rsidRPr="001B765A">
        <w:rPr>
          <w:color w:val="auto"/>
          <w:sz w:val="22"/>
          <w:szCs w:val="22"/>
        </w:rPr>
        <w:t xml:space="preserve">The health check has to be delivered in a face to face situation, and as such has been adversely affected by the pandemic.  The national picture is that whilst the programme was </w:t>
      </w:r>
      <w:r w:rsidR="0AF047E2" w:rsidRPr="001B765A">
        <w:rPr>
          <w:rFonts w:cs="Arial"/>
          <w:color w:val="auto"/>
          <w:sz w:val="22"/>
          <w:szCs w:val="22"/>
        </w:rPr>
        <w:t>suspended</w:t>
      </w:r>
      <w:r w:rsidR="0AF047E2" w:rsidRPr="001B765A">
        <w:rPr>
          <w:color w:val="auto"/>
          <w:sz w:val="22"/>
          <w:szCs w:val="22"/>
        </w:rPr>
        <w:t>, P</w:t>
      </w:r>
      <w:r w:rsidR="1B548A93" w:rsidRPr="001B765A">
        <w:rPr>
          <w:color w:val="auto"/>
          <w:sz w:val="22"/>
          <w:szCs w:val="22"/>
        </w:rPr>
        <w:t xml:space="preserve">ublic </w:t>
      </w:r>
      <w:r w:rsidR="0AF047E2" w:rsidRPr="001B765A">
        <w:rPr>
          <w:color w:val="auto"/>
          <w:sz w:val="22"/>
          <w:szCs w:val="22"/>
        </w:rPr>
        <w:t>H</w:t>
      </w:r>
      <w:r w:rsidR="1B548A93" w:rsidRPr="001B765A">
        <w:rPr>
          <w:color w:val="auto"/>
          <w:sz w:val="22"/>
          <w:szCs w:val="22"/>
        </w:rPr>
        <w:t xml:space="preserve">ealth </w:t>
      </w:r>
      <w:r w:rsidR="0AF047E2" w:rsidRPr="001B765A">
        <w:rPr>
          <w:color w:val="auto"/>
          <w:sz w:val="22"/>
          <w:szCs w:val="22"/>
        </w:rPr>
        <w:t>E</w:t>
      </w:r>
      <w:r w:rsidR="1B548A93" w:rsidRPr="001B765A">
        <w:rPr>
          <w:color w:val="auto"/>
          <w:sz w:val="22"/>
          <w:szCs w:val="22"/>
        </w:rPr>
        <w:t>ngland</w:t>
      </w:r>
      <w:r w:rsidR="0AF047E2" w:rsidRPr="001B765A">
        <w:rPr>
          <w:color w:val="auto"/>
          <w:sz w:val="22"/>
          <w:szCs w:val="22"/>
        </w:rPr>
        <w:t xml:space="preserve"> directed </w:t>
      </w:r>
      <w:r w:rsidR="1B548A93" w:rsidRPr="001B765A">
        <w:rPr>
          <w:color w:val="auto"/>
          <w:sz w:val="22"/>
          <w:szCs w:val="22"/>
        </w:rPr>
        <w:t xml:space="preserve">that </w:t>
      </w:r>
      <w:r w:rsidR="0AF047E2" w:rsidRPr="001B765A">
        <w:rPr>
          <w:color w:val="auto"/>
          <w:sz w:val="22"/>
          <w:szCs w:val="22"/>
        </w:rPr>
        <w:t xml:space="preserve">no results were to be reported. </w:t>
      </w:r>
    </w:p>
    <w:p w14:paraId="38678B09" w14:textId="3D5A1FF2" w:rsidR="003435BD" w:rsidRPr="00EF7259" w:rsidRDefault="00AF55DE" w:rsidP="009B0EC4">
      <w:pPr>
        <w:rPr>
          <w:color w:val="auto"/>
          <w:sz w:val="22"/>
          <w:szCs w:val="22"/>
        </w:rPr>
      </w:pPr>
      <w:r>
        <w:rPr>
          <w:color w:val="auto"/>
          <w:sz w:val="22"/>
          <w:szCs w:val="22"/>
        </w:rPr>
        <w:t>Further detail on Health Checks</w:t>
      </w:r>
      <w:r w:rsidR="00790A90">
        <w:rPr>
          <w:color w:val="auto"/>
          <w:sz w:val="22"/>
          <w:szCs w:val="22"/>
        </w:rPr>
        <w:t xml:space="preserve"> data is available in the Public Health report </w:t>
      </w:r>
      <w:r w:rsidR="00DA3469">
        <w:rPr>
          <w:color w:val="auto"/>
          <w:sz w:val="22"/>
          <w:szCs w:val="22"/>
        </w:rPr>
        <w:t>to</w:t>
      </w:r>
      <w:r w:rsidR="00790A90">
        <w:rPr>
          <w:color w:val="auto"/>
          <w:sz w:val="22"/>
          <w:szCs w:val="22"/>
        </w:rPr>
        <w:t xml:space="preserve"> CCPI</w:t>
      </w:r>
      <w:r w:rsidR="00DA3469">
        <w:rPr>
          <w:color w:val="auto"/>
          <w:sz w:val="22"/>
          <w:szCs w:val="22"/>
        </w:rPr>
        <w:t xml:space="preserve"> (9 September</w:t>
      </w:r>
      <w:r w:rsidR="00790A90">
        <w:rPr>
          <w:color w:val="auto"/>
          <w:sz w:val="22"/>
          <w:szCs w:val="22"/>
        </w:rPr>
        <w:t xml:space="preserve"> meeting</w:t>
      </w:r>
      <w:r w:rsidR="00DA3469">
        <w:rPr>
          <w:color w:val="auto"/>
          <w:sz w:val="22"/>
          <w:szCs w:val="22"/>
        </w:rPr>
        <w:t>)</w:t>
      </w:r>
      <w:r w:rsidR="00790A90">
        <w:rPr>
          <w:color w:val="auto"/>
          <w:sz w:val="22"/>
          <w:szCs w:val="22"/>
        </w:rPr>
        <w:t>.</w:t>
      </w:r>
    </w:p>
    <w:p w14:paraId="472F05C0" w14:textId="6DF5EF5C" w:rsidR="009B0EC4" w:rsidRPr="00726024" w:rsidRDefault="00AF55DE" w:rsidP="009B0EC4">
      <w:pPr>
        <w:rPr>
          <w:rFonts w:cs="Arial"/>
          <w:sz w:val="22"/>
          <w:szCs w:val="22"/>
        </w:rPr>
      </w:pPr>
      <w:r w:rsidRPr="003435BD">
        <w:rPr>
          <w:rFonts w:cs="Arial"/>
          <w:b/>
          <w:bCs/>
          <w:sz w:val="22"/>
          <w:szCs w:val="22"/>
        </w:rPr>
        <w:t>Adult Services and Health and Wellbeing</w:t>
      </w:r>
      <w:r w:rsidRPr="00726024">
        <w:rPr>
          <w:rFonts w:cs="Arial"/>
          <w:sz w:val="22"/>
          <w:szCs w:val="22"/>
        </w:rPr>
        <w:t xml:space="preserve"> are currently in the process of developing a new reporting framework which will be available at future CCPI meetings. This will enable members to review performance priorities against a number of existing and new metrics organised into distinct domains. T</w:t>
      </w:r>
      <w:r w:rsidRPr="00726024">
        <w:rPr>
          <w:rFonts w:cs="Arial"/>
          <w:sz w:val="22"/>
          <w:szCs w:val="22"/>
        </w:rPr>
        <w:t xml:space="preserve">he new reporting arrangement will be aligned to the directorate's Strategic Vision and emerging new/refreshed Corporate Strategy.  </w:t>
      </w:r>
    </w:p>
    <w:p w14:paraId="71FC7C5A" w14:textId="77777777" w:rsidR="009B0EC4" w:rsidRPr="00726024" w:rsidRDefault="00AF55DE" w:rsidP="009B0EC4">
      <w:pPr>
        <w:rPr>
          <w:sz w:val="22"/>
          <w:szCs w:val="22"/>
          <w:lang w:eastAsia="en-GB"/>
        </w:rPr>
      </w:pPr>
      <w:r w:rsidRPr="00726024">
        <w:rPr>
          <w:rFonts w:cs="Arial"/>
          <w:sz w:val="22"/>
          <w:szCs w:val="22"/>
        </w:rPr>
        <w:t>The current metrics below allow current Quarter 1 performance to be reviewed alongside the previous two years outturn to all</w:t>
      </w:r>
      <w:r w:rsidRPr="00726024">
        <w:rPr>
          <w:rFonts w:cs="Arial"/>
          <w:sz w:val="22"/>
          <w:szCs w:val="22"/>
        </w:rPr>
        <w:t>ow consistent monitoring of performance against target whilst new performance frameworks are developed.</w:t>
      </w:r>
    </w:p>
    <w:p w14:paraId="19C30958" w14:textId="77777777" w:rsidR="00A27737" w:rsidRPr="007846EA" w:rsidRDefault="00A27737" w:rsidP="0030579F">
      <w:pPr>
        <w:rPr>
          <w:iCs/>
          <w:color w:val="auto"/>
          <w:sz w:val="22"/>
          <w:szCs w:val="22"/>
        </w:rPr>
      </w:pPr>
    </w:p>
    <w:tbl>
      <w:tblPr>
        <w:tblW w:w="142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0"/>
        <w:gridCol w:w="1261"/>
        <w:gridCol w:w="2294"/>
        <w:gridCol w:w="874"/>
        <w:gridCol w:w="1219"/>
        <w:gridCol w:w="1058"/>
        <w:gridCol w:w="1583"/>
        <w:gridCol w:w="1688"/>
        <w:gridCol w:w="1055"/>
      </w:tblGrid>
      <w:tr w:rsidR="00BB349C" w14:paraId="69DA2BA1" w14:textId="77777777" w:rsidTr="78C3123E">
        <w:trPr>
          <w:trHeight w:val="579"/>
        </w:trPr>
        <w:tc>
          <w:tcPr>
            <w:tcW w:w="3180" w:type="dxa"/>
            <w:tcBorders>
              <w:top w:val="single" w:sz="4" w:space="0" w:color="auto"/>
              <w:left w:val="single" w:sz="4" w:space="0" w:color="auto"/>
              <w:bottom w:val="single" w:sz="4" w:space="0" w:color="auto"/>
              <w:right w:val="single" w:sz="4" w:space="0" w:color="auto"/>
            </w:tcBorders>
          </w:tcPr>
          <w:p w14:paraId="4983C44B" w14:textId="5ACC34A6" w:rsidR="005F2EB2" w:rsidRPr="00FA30B2" w:rsidRDefault="00AF55DE" w:rsidP="005F2EB2">
            <w:pPr>
              <w:pStyle w:val="NoSpacing"/>
              <w:rPr>
                <w:rFonts w:ascii="Arial" w:hAnsi="Arial" w:cs="Arial"/>
                <w:b/>
              </w:rPr>
            </w:pPr>
            <w:r w:rsidRPr="0047796E">
              <w:rPr>
                <w:rFonts w:ascii="Arial" w:hAnsi="Arial" w:cs="Arial"/>
                <w:b/>
                <w:sz w:val="20"/>
                <w:szCs w:val="20"/>
              </w:rPr>
              <w:t>Performance Indicator</w:t>
            </w:r>
          </w:p>
        </w:tc>
        <w:tc>
          <w:tcPr>
            <w:tcW w:w="1261" w:type="dxa"/>
            <w:tcBorders>
              <w:top w:val="single" w:sz="4" w:space="0" w:color="auto"/>
              <w:left w:val="single" w:sz="4" w:space="0" w:color="auto"/>
              <w:bottom w:val="single" w:sz="4" w:space="0" w:color="auto"/>
              <w:right w:val="single" w:sz="4" w:space="0" w:color="auto"/>
            </w:tcBorders>
          </w:tcPr>
          <w:p w14:paraId="5F0E4457" w14:textId="6EDA3C6F" w:rsidR="005F2EB2" w:rsidRPr="00FA30B2" w:rsidRDefault="00AF55DE" w:rsidP="005F2EB2">
            <w:pPr>
              <w:pStyle w:val="NoSpacing"/>
              <w:rPr>
                <w:rFonts w:ascii="Arial" w:hAnsi="Arial" w:cs="Arial"/>
                <w:b/>
              </w:rPr>
            </w:pPr>
            <w:r w:rsidRPr="0047796E">
              <w:rPr>
                <w:rFonts w:ascii="Arial" w:hAnsi="Arial" w:cs="Arial"/>
                <w:b/>
                <w:sz w:val="20"/>
                <w:szCs w:val="20"/>
              </w:rPr>
              <w:t>Frequency</w:t>
            </w:r>
          </w:p>
        </w:tc>
        <w:tc>
          <w:tcPr>
            <w:tcW w:w="2294" w:type="dxa"/>
            <w:tcBorders>
              <w:top w:val="single" w:sz="4" w:space="0" w:color="auto"/>
              <w:left w:val="single" w:sz="4" w:space="0" w:color="auto"/>
              <w:bottom w:val="single" w:sz="4" w:space="0" w:color="auto"/>
              <w:right w:val="single" w:sz="4" w:space="0" w:color="auto"/>
            </w:tcBorders>
          </w:tcPr>
          <w:p w14:paraId="4160A84E" w14:textId="43C7631F" w:rsidR="005F2EB2" w:rsidRPr="00FA30B2" w:rsidRDefault="00AF55DE" w:rsidP="005F2EB2">
            <w:pPr>
              <w:pStyle w:val="NoSpacing"/>
              <w:rPr>
                <w:rFonts w:ascii="Arial" w:hAnsi="Arial" w:cs="Arial"/>
                <w:b/>
              </w:rPr>
            </w:pPr>
            <w:r w:rsidRPr="0047796E">
              <w:rPr>
                <w:rFonts w:ascii="Arial" w:hAnsi="Arial" w:cs="Arial"/>
                <w:b/>
                <w:sz w:val="20"/>
                <w:szCs w:val="20"/>
              </w:rPr>
              <w:t xml:space="preserve">Directorate </w:t>
            </w:r>
          </w:p>
        </w:tc>
        <w:tc>
          <w:tcPr>
            <w:tcW w:w="874" w:type="dxa"/>
            <w:tcBorders>
              <w:top w:val="single" w:sz="4" w:space="0" w:color="auto"/>
              <w:left w:val="single" w:sz="4" w:space="0" w:color="auto"/>
              <w:bottom w:val="single" w:sz="4" w:space="0" w:color="auto"/>
              <w:right w:val="single" w:sz="4" w:space="0" w:color="auto"/>
            </w:tcBorders>
          </w:tcPr>
          <w:p w14:paraId="342584FD" w14:textId="520EF36F" w:rsidR="005F2EB2" w:rsidRDefault="00AF55DE" w:rsidP="005F2EB2">
            <w:pPr>
              <w:pStyle w:val="NoSpacing"/>
              <w:rPr>
                <w:rFonts w:ascii="Arial" w:hAnsi="Arial" w:cs="Arial"/>
                <w:b/>
              </w:rPr>
            </w:pPr>
            <w:r w:rsidRPr="0047796E">
              <w:rPr>
                <w:rFonts w:ascii="Arial" w:hAnsi="Arial" w:cs="Arial"/>
                <w:b/>
                <w:sz w:val="20"/>
                <w:szCs w:val="20"/>
              </w:rPr>
              <w:t>Good is</w:t>
            </w:r>
          </w:p>
        </w:tc>
        <w:tc>
          <w:tcPr>
            <w:tcW w:w="1219" w:type="dxa"/>
            <w:tcBorders>
              <w:top w:val="single" w:sz="4" w:space="0" w:color="auto"/>
              <w:left w:val="single" w:sz="4" w:space="0" w:color="auto"/>
              <w:bottom w:val="single" w:sz="4" w:space="0" w:color="auto"/>
              <w:right w:val="single" w:sz="4" w:space="0" w:color="auto"/>
            </w:tcBorders>
            <w:shd w:val="clear" w:color="auto" w:fill="auto"/>
          </w:tcPr>
          <w:p w14:paraId="61BB8CC2" w14:textId="440C5C80" w:rsidR="62385CB5" w:rsidRDefault="00AF55DE" w:rsidP="62385CB5">
            <w:pPr>
              <w:pStyle w:val="NoSpacing"/>
              <w:jc w:val="center"/>
              <w:rPr>
                <w:rFonts w:ascii="Arial" w:hAnsi="Arial" w:cs="Arial"/>
                <w:b/>
                <w:bCs/>
              </w:rPr>
            </w:pPr>
            <w:r w:rsidRPr="62385CB5">
              <w:rPr>
                <w:rFonts w:ascii="Arial" w:hAnsi="Arial" w:cs="Arial"/>
                <w:b/>
                <w:bCs/>
                <w:sz w:val="20"/>
                <w:szCs w:val="20"/>
              </w:rPr>
              <w:t>2019/20 Outturn</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00DE804E" w14:textId="6A11BA1F" w:rsidR="62385CB5" w:rsidRDefault="00AF55DE" w:rsidP="62385CB5">
            <w:pPr>
              <w:pStyle w:val="NoSpacing"/>
              <w:jc w:val="center"/>
              <w:rPr>
                <w:rFonts w:ascii="Arial" w:hAnsi="Arial" w:cs="Arial"/>
                <w:b/>
                <w:bCs/>
                <w:sz w:val="20"/>
                <w:szCs w:val="20"/>
              </w:rPr>
            </w:pPr>
            <w:r w:rsidRPr="62385CB5">
              <w:rPr>
                <w:rFonts w:ascii="Arial" w:hAnsi="Arial" w:cs="Arial"/>
                <w:b/>
                <w:bCs/>
                <w:sz w:val="20"/>
                <w:szCs w:val="20"/>
              </w:rPr>
              <w:t>2020/21 Outturn</w:t>
            </w: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10367CD2" w14:textId="6684B6AF" w:rsidR="62385CB5" w:rsidRDefault="00AF55DE" w:rsidP="62385CB5">
            <w:pPr>
              <w:pStyle w:val="NoSpacing"/>
              <w:jc w:val="center"/>
              <w:rPr>
                <w:rFonts w:ascii="Arial" w:hAnsi="Arial" w:cs="Arial"/>
                <w:b/>
                <w:bCs/>
              </w:rPr>
            </w:pPr>
            <w:r w:rsidRPr="62385CB5">
              <w:rPr>
                <w:rFonts w:ascii="Arial" w:hAnsi="Arial" w:cs="Arial"/>
                <w:b/>
                <w:bCs/>
                <w:sz w:val="20"/>
                <w:szCs w:val="20"/>
              </w:rPr>
              <w:t xml:space="preserve">2020/21 Quarter 1 </w:t>
            </w:r>
            <w:r w:rsidRPr="62385CB5">
              <w:rPr>
                <w:rFonts w:ascii="Arial" w:hAnsi="Arial" w:cs="Arial"/>
                <w:b/>
                <w:bCs/>
                <w:sz w:val="18"/>
                <w:szCs w:val="18"/>
              </w:rPr>
              <w:t>(April –June)</w:t>
            </w:r>
          </w:p>
        </w:tc>
        <w:tc>
          <w:tcPr>
            <w:tcW w:w="1688" w:type="dxa"/>
            <w:tcBorders>
              <w:top w:val="single" w:sz="4" w:space="0" w:color="auto"/>
              <w:left w:val="single" w:sz="4" w:space="0" w:color="auto"/>
              <w:bottom w:val="single" w:sz="4" w:space="0" w:color="auto"/>
              <w:right w:val="single" w:sz="4" w:space="0" w:color="auto"/>
            </w:tcBorders>
            <w:shd w:val="clear" w:color="auto" w:fill="auto"/>
          </w:tcPr>
          <w:p w14:paraId="523050FF" w14:textId="59A549FD" w:rsidR="408EE656" w:rsidRDefault="00AF55DE" w:rsidP="62385CB5">
            <w:pPr>
              <w:pStyle w:val="NoSpacing"/>
              <w:jc w:val="center"/>
              <w:rPr>
                <w:rFonts w:ascii="Arial" w:hAnsi="Arial" w:cs="Arial"/>
                <w:b/>
                <w:bCs/>
                <w:sz w:val="20"/>
                <w:szCs w:val="20"/>
              </w:rPr>
            </w:pPr>
            <w:r w:rsidRPr="62385CB5">
              <w:rPr>
                <w:rFonts w:ascii="Arial" w:hAnsi="Arial" w:cs="Arial"/>
                <w:b/>
                <w:bCs/>
                <w:sz w:val="20"/>
                <w:szCs w:val="20"/>
              </w:rPr>
              <w:t xml:space="preserve">2021/22   Quarter 1 </w:t>
            </w:r>
            <w:r w:rsidRPr="62385CB5">
              <w:rPr>
                <w:rFonts w:ascii="Arial" w:hAnsi="Arial" w:cs="Arial"/>
                <w:b/>
                <w:bCs/>
                <w:sz w:val="18"/>
                <w:szCs w:val="18"/>
              </w:rPr>
              <w:t>(April- June)</w:t>
            </w:r>
          </w:p>
          <w:p w14:paraId="5A3ABD06" w14:textId="49B6D23F" w:rsidR="62385CB5" w:rsidRDefault="62385CB5" w:rsidP="62385CB5">
            <w:pPr>
              <w:pStyle w:val="NoSpacing"/>
              <w:jc w:val="center"/>
              <w:rPr>
                <w:b/>
                <w:bCs/>
                <w:sz w:val="20"/>
                <w:szCs w:val="20"/>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1796364A" w14:textId="1F33293A" w:rsidR="62385CB5" w:rsidRDefault="00AF55DE" w:rsidP="62385CB5">
            <w:pPr>
              <w:pStyle w:val="NoSpacing"/>
              <w:jc w:val="center"/>
              <w:rPr>
                <w:rFonts w:ascii="Arial" w:hAnsi="Arial" w:cs="Arial"/>
                <w:b/>
                <w:bCs/>
              </w:rPr>
            </w:pPr>
            <w:r w:rsidRPr="62385CB5">
              <w:rPr>
                <w:rFonts w:ascii="Arial" w:hAnsi="Arial" w:cs="Arial"/>
                <w:b/>
                <w:bCs/>
                <w:sz w:val="20"/>
                <w:szCs w:val="20"/>
              </w:rPr>
              <w:t>2021/22 Target</w:t>
            </w:r>
          </w:p>
        </w:tc>
      </w:tr>
      <w:tr w:rsidR="00BB349C" w14:paraId="0E618FEB" w14:textId="77777777" w:rsidTr="78C3123E">
        <w:trPr>
          <w:trHeight w:val="1095"/>
        </w:trPr>
        <w:tc>
          <w:tcPr>
            <w:tcW w:w="3180" w:type="dxa"/>
            <w:tcBorders>
              <w:top w:val="single" w:sz="4" w:space="0" w:color="auto"/>
              <w:left w:val="single" w:sz="4" w:space="0" w:color="auto"/>
              <w:bottom w:val="single" w:sz="4" w:space="0" w:color="auto"/>
              <w:right w:val="single" w:sz="4" w:space="0" w:color="auto"/>
            </w:tcBorders>
            <w:hideMark/>
          </w:tcPr>
          <w:p w14:paraId="71C8AE4E" w14:textId="77777777" w:rsidR="005F2EB2" w:rsidRPr="00CA768A" w:rsidRDefault="00AF55DE" w:rsidP="005F2EB2">
            <w:pPr>
              <w:pStyle w:val="NoSpacing"/>
              <w:rPr>
                <w:rFonts w:ascii="Arial" w:hAnsi="Arial" w:cs="Arial"/>
              </w:rPr>
            </w:pPr>
            <w:r w:rsidRPr="00CA768A">
              <w:rPr>
                <w:rFonts w:ascii="Arial" w:hAnsi="Arial" w:cs="Arial"/>
              </w:rPr>
              <w:t>Percentage of adults and older people whose desired safeguarding outcomes are fully met</w:t>
            </w:r>
          </w:p>
        </w:tc>
        <w:tc>
          <w:tcPr>
            <w:tcW w:w="1261" w:type="dxa"/>
            <w:tcBorders>
              <w:top w:val="single" w:sz="4" w:space="0" w:color="auto"/>
              <w:left w:val="single" w:sz="4" w:space="0" w:color="auto"/>
              <w:bottom w:val="single" w:sz="4" w:space="0" w:color="auto"/>
              <w:right w:val="single" w:sz="4" w:space="0" w:color="auto"/>
            </w:tcBorders>
            <w:hideMark/>
          </w:tcPr>
          <w:p w14:paraId="3AD3D8FA" w14:textId="77777777" w:rsidR="005F2EB2" w:rsidRPr="00CA768A" w:rsidRDefault="00AF55DE" w:rsidP="005F2EB2">
            <w:pPr>
              <w:pStyle w:val="NoSpacing"/>
              <w:rPr>
                <w:rFonts w:ascii="Arial" w:hAnsi="Arial" w:cs="Arial"/>
                <w:i/>
              </w:rPr>
            </w:pPr>
            <w:r w:rsidRPr="00CA768A">
              <w:rPr>
                <w:rFonts w:ascii="Arial" w:hAnsi="Arial" w:cs="Arial"/>
              </w:rPr>
              <w:t>Quarterly</w:t>
            </w:r>
          </w:p>
        </w:tc>
        <w:tc>
          <w:tcPr>
            <w:tcW w:w="2294" w:type="dxa"/>
            <w:tcBorders>
              <w:top w:val="single" w:sz="4" w:space="0" w:color="auto"/>
              <w:left w:val="single" w:sz="4" w:space="0" w:color="auto"/>
              <w:bottom w:val="single" w:sz="4" w:space="0" w:color="auto"/>
              <w:right w:val="single" w:sz="4" w:space="0" w:color="auto"/>
            </w:tcBorders>
          </w:tcPr>
          <w:p w14:paraId="6C37C55C" w14:textId="77777777" w:rsidR="005F2EB2" w:rsidRPr="00CA768A" w:rsidRDefault="00AF55DE" w:rsidP="005F2EB2">
            <w:pPr>
              <w:pStyle w:val="NoSpacing"/>
              <w:rPr>
                <w:rFonts w:ascii="Arial" w:hAnsi="Arial" w:cs="Arial"/>
              </w:rPr>
            </w:pPr>
            <w:r w:rsidRPr="00CA768A">
              <w:rPr>
                <w:rFonts w:ascii="Arial" w:hAnsi="Arial" w:cs="Arial"/>
              </w:rPr>
              <w:t>Adults Services and Health and Wellbeing</w:t>
            </w:r>
          </w:p>
        </w:tc>
        <w:tc>
          <w:tcPr>
            <w:tcW w:w="874" w:type="dxa"/>
            <w:tcBorders>
              <w:top w:val="single" w:sz="4" w:space="0" w:color="auto"/>
              <w:left w:val="single" w:sz="4" w:space="0" w:color="auto"/>
              <w:bottom w:val="single" w:sz="4" w:space="0" w:color="auto"/>
              <w:right w:val="single" w:sz="4" w:space="0" w:color="auto"/>
            </w:tcBorders>
          </w:tcPr>
          <w:p w14:paraId="329B52C2" w14:textId="77777777" w:rsidR="005F2EB2" w:rsidRPr="00CA768A" w:rsidRDefault="00AF55DE" w:rsidP="005F2EB2">
            <w:pPr>
              <w:pStyle w:val="NoSpacing"/>
              <w:rPr>
                <w:rFonts w:ascii="Arial" w:hAnsi="Arial" w:cs="Arial"/>
              </w:rPr>
            </w:pPr>
            <w:r w:rsidRPr="00CA768A">
              <w:rPr>
                <w:rFonts w:ascii="Arial" w:hAnsi="Arial" w:cs="Arial"/>
              </w:rPr>
              <w:t>High</w:t>
            </w:r>
          </w:p>
        </w:tc>
        <w:tc>
          <w:tcPr>
            <w:tcW w:w="121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63B25B8" w14:textId="77777777" w:rsidR="005F2EB2" w:rsidRPr="00CA768A" w:rsidRDefault="00AF55DE" w:rsidP="005F2EB2">
            <w:pPr>
              <w:pStyle w:val="NoSpacing"/>
              <w:rPr>
                <w:rFonts w:ascii="Arial" w:hAnsi="Arial" w:cs="Arial"/>
              </w:rPr>
            </w:pPr>
            <w:r w:rsidRPr="00CA768A">
              <w:rPr>
                <w:rFonts w:ascii="Arial" w:hAnsi="Arial" w:cs="Arial"/>
              </w:rPr>
              <w:t>63.0%</w:t>
            </w:r>
          </w:p>
        </w:tc>
        <w:tc>
          <w:tcPr>
            <w:tcW w:w="105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72D41D2" w14:textId="0D6F9E09" w:rsidR="0053DAC0" w:rsidRDefault="00AF55DE" w:rsidP="62385CB5">
            <w:pPr>
              <w:pStyle w:val="NoSpacing"/>
              <w:rPr>
                <w:rFonts w:ascii="Arial" w:hAnsi="Arial" w:cs="Arial"/>
              </w:rPr>
            </w:pPr>
            <w:r w:rsidRPr="62385CB5">
              <w:rPr>
                <w:rFonts w:ascii="Arial" w:hAnsi="Arial" w:cs="Arial"/>
              </w:rPr>
              <w:t>6</w:t>
            </w:r>
            <w:r w:rsidR="5BD76EA9" w:rsidRPr="62385CB5">
              <w:rPr>
                <w:rFonts w:ascii="Arial" w:hAnsi="Arial" w:cs="Arial"/>
              </w:rPr>
              <w:t>5</w:t>
            </w:r>
            <w:r w:rsidRPr="62385CB5">
              <w:rPr>
                <w:rFonts w:ascii="Arial" w:hAnsi="Arial" w:cs="Arial"/>
              </w:rPr>
              <w:t>.</w:t>
            </w:r>
            <w:r w:rsidR="596E70E0" w:rsidRPr="62385CB5">
              <w:rPr>
                <w:rFonts w:ascii="Arial" w:hAnsi="Arial" w:cs="Arial"/>
              </w:rPr>
              <w:t>4</w:t>
            </w:r>
            <w:r w:rsidRPr="62385CB5">
              <w:rPr>
                <w:rFonts w:ascii="Arial" w:hAnsi="Arial" w:cs="Arial"/>
              </w:rPr>
              <w:t>%</w:t>
            </w:r>
          </w:p>
          <w:p w14:paraId="6A235CE2" w14:textId="722B42CE" w:rsidR="62385CB5" w:rsidRDefault="62385CB5" w:rsidP="62385CB5">
            <w:pPr>
              <w:pStyle w:val="NoSpacing"/>
            </w:pPr>
          </w:p>
        </w:tc>
        <w:tc>
          <w:tcPr>
            <w:tcW w:w="158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8DBC7B3" w14:textId="4FD2FA13" w:rsidR="0053DAC0" w:rsidRDefault="00AF55DE" w:rsidP="62385CB5">
            <w:pPr>
              <w:pStyle w:val="NoSpacing"/>
              <w:rPr>
                <w:rFonts w:ascii="Arial" w:hAnsi="Arial" w:cs="Arial"/>
              </w:rPr>
            </w:pPr>
            <w:r w:rsidRPr="62385CB5">
              <w:rPr>
                <w:rFonts w:ascii="Arial" w:hAnsi="Arial" w:cs="Arial"/>
              </w:rPr>
              <w:t>6</w:t>
            </w:r>
            <w:r w:rsidR="4D3D7C50" w:rsidRPr="62385CB5">
              <w:rPr>
                <w:rFonts w:ascii="Arial" w:hAnsi="Arial" w:cs="Arial"/>
              </w:rPr>
              <w:t>2.6</w:t>
            </w:r>
            <w:r w:rsidRPr="62385CB5">
              <w:rPr>
                <w:rFonts w:ascii="Arial" w:hAnsi="Arial" w:cs="Arial"/>
              </w:rPr>
              <w:t>%</w:t>
            </w:r>
          </w:p>
          <w:p w14:paraId="5EF3B671" w14:textId="007D7E2C" w:rsidR="62385CB5" w:rsidRDefault="62385CB5" w:rsidP="62385CB5">
            <w:pPr>
              <w:pStyle w:val="NoSpacing"/>
            </w:pPr>
          </w:p>
        </w:tc>
        <w:tc>
          <w:tcPr>
            <w:tcW w:w="168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49A2F02" w14:textId="2BCCAA61" w:rsidR="0053DAC0" w:rsidRDefault="00AF55DE" w:rsidP="62385CB5">
            <w:pPr>
              <w:pStyle w:val="NoSpacing"/>
              <w:rPr>
                <w:rFonts w:ascii="Arial" w:hAnsi="Arial" w:cs="Arial"/>
              </w:rPr>
            </w:pPr>
            <w:r w:rsidRPr="62385CB5">
              <w:rPr>
                <w:rFonts w:ascii="Arial" w:hAnsi="Arial" w:cs="Arial"/>
              </w:rPr>
              <w:t>6</w:t>
            </w:r>
            <w:r w:rsidR="03C90ECB" w:rsidRPr="62385CB5">
              <w:rPr>
                <w:rFonts w:ascii="Arial" w:hAnsi="Arial" w:cs="Arial"/>
              </w:rPr>
              <w:t>5</w:t>
            </w:r>
            <w:r w:rsidRPr="62385CB5">
              <w:rPr>
                <w:rFonts w:ascii="Arial" w:hAnsi="Arial" w:cs="Arial"/>
              </w:rPr>
              <w:t>.</w:t>
            </w:r>
            <w:r w:rsidR="64609EC4" w:rsidRPr="62385CB5">
              <w:rPr>
                <w:rFonts w:ascii="Arial" w:hAnsi="Arial" w:cs="Arial"/>
              </w:rPr>
              <w:t>9</w:t>
            </w:r>
            <w:r w:rsidRPr="62385CB5">
              <w:rPr>
                <w:rFonts w:ascii="Arial" w:hAnsi="Arial" w:cs="Arial"/>
              </w:rPr>
              <w:t>%</w:t>
            </w:r>
          </w:p>
          <w:p w14:paraId="0A84B9BB" w14:textId="6C785F8D" w:rsidR="62385CB5" w:rsidRDefault="62385CB5" w:rsidP="62385CB5">
            <w:pPr>
              <w:pStyle w:val="NoSpacing"/>
            </w:pPr>
          </w:p>
        </w:tc>
        <w:tc>
          <w:tcPr>
            <w:tcW w:w="1055" w:type="dxa"/>
            <w:tcBorders>
              <w:top w:val="single" w:sz="4" w:space="0" w:color="auto"/>
              <w:left w:val="single" w:sz="4" w:space="0" w:color="auto"/>
              <w:bottom w:val="single" w:sz="4" w:space="0" w:color="auto"/>
              <w:right w:val="single" w:sz="4" w:space="0" w:color="auto"/>
            </w:tcBorders>
          </w:tcPr>
          <w:p w14:paraId="5AA78534" w14:textId="76F236BA" w:rsidR="11466530" w:rsidRDefault="00AF55DE" w:rsidP="62385CB5">
            <w:pPr>
              <w:pStyle w:val="NoSpacing"/>
              <w:rPr>
                <w:rFonts w:ascii="Arial" w:hAnsi="Arial" w:cs="Arial"/>
              </w:rPr>
            </w:pPr>
            <w:r w:rsidRPr="62385CB5">
              <w:rPr>
                <w:rFonts w:ascii="Arial" w:hAnsi="Arial" w:cs="Arial"/>
              </w:rPr>
              <w:t>70</w:t>
            </w:r>
            <w:r w:rsidR="0053DAC0" w:rsidRPr="62385CB5">
              <w:rPr>
                <w:rFonts w:ascii="Arial" w:hAnsi="Arial" w:cs="Arial"/>
              </w:rPr>
              <w:t>.0%</w:t>
            </w:r>
          </w:p>
          <w:p w14:paraId="3A0FC8BD" w14:textId="21106936" w:rsidR="62385CB5" w:rsidRDefault="62385CB5" w:rsidP="62385CB5">
            <w:pPr>
              <w:pStyle w:val="NoSpacing"/>
            </w:pPr>
          </w:p>
        </w:tc>
      </w:tr>
      <w:tr w:rsidR="00BB349C" w14:paraId="17F7D219" w14:textId="77777777" w:rsidTr="78C3123E">
        <w:trPr>
          <w:trHeight w:val="1620"/>
        </w:trPr>
        <w:tc>
          <w:tcPr>
            <w:tcW w:w="3180" w:type="dxa"/>
            <w:tcBorders>
              <w:top w:val="single" w:sz="4" w:space="0" w:color="auto"/>
              <w:left w:val="single" w:sz="4" w:space="0" w:color="auto"/>
              <w:bottom w:val="single" w:sz="4" w:space="0" w:color="auto"/>
              <w:right w:val="single" w:sz="4" w:space="0" w:color="auto"/>
            </w:tcBorders>
          </w:tcPr>
          <w:p w14:paraId="4FDADC20" w14:textId="4727E14B" w:rsidR="005F2EB2" w:rsidRPr="00CA768A" w:rsidRDefault="00AF55DE" w:rsidP="005F2EB2">
            <w:pPr>
              <w:pStyle w:val="NoSpacing"/>
              <w:rPr>
                <w:rFonts w:ascii="Arial" w:hAnsi="Arial" w:cs="Arial"/>
              </w:rPr>
            </w:pPr>
            <w:r w:rsidRPr="78C3123E">
              <w:rPr>
                <w:rFonts w:ascii="Arial" w:hAnsi="Arial" w:cs="Arial"/>
              </w:rPr>
              <w:t xml:space="preserve">Percentage of Care </w:t>
            </w:r>
            <w:r w:rsidR="4822C5DA" w:rsidRPr="78C3123E">
              <w:rPr>
                <w:rFonts w:ascii="Arial" w:hAnsi="Arial" w:cs="Arial"/>
              </w:rPr>
              <w:t>H</w:t>
            </w:r>
            <w:r w:rsidRPr="78C3123E">
              <w:rPr>
                <w:rFonts w:ascii="Arial" w:hAnsi="Arial" w:cs="Arial"/>
              </w:rPr>
              <w:t xml:space="preserve">omes in Lancashire rated as Good or Outstanding – all Care Home provision </w:t>
            </w:r>
          </w:p>
          <w:p w14:paraId="1A3B8DFC" w14:textId="77777777" w:rsidR="005F2EB2" w:rsidRPr="00CA768A" w:rsidRDefault="00AF55DE" w:rsidP="005F2EB2">
            <w:pPr>
              <w:pStyle w:val="NoSpacing"/>
              <w:rPr>
                <w:rFonts w:ascii="Arial" w:hAnsi="Arial" w:cs="Arial"/>
              </w:rPr>
            </w:pPr>
            <w:r w:rsidRPr="00CA768A">
              <w:rPr>
                <w:rFonts w:ascii="Arial" w:hAnsi="Arial" w:cs="Arial"/>
              </w:rPr>
              <w:t>(LCC and non-LCC maintained)</w:t>
            </w:r>
          </w:p>
        </w:tc>
        <w:tc>
          <w:tcPr>
            <w:tcW w:w="1261" w:type="dxa"/>
            <w:tcBorders>
              <w:top w:val="single" w:sz="4" w:space="0" w:color="auto"/>
              <w:left w:val="single" w:sz="4" w:space="0" w:color="auto"/>
              <w:bottom w:val="single" w:sz="4" w:space="0" w:color="auto"/>
              <w:right w:val="single" w:sz="4" w:space="0" w:color="auto"/>
            </w:tcBorders>
          </w:tcPr>
          <w:p w14:paraId="79C2A9F3" w14:textId="77777777" w:rsidR="005F2EB2" w:rsidRPr="00CA768A" w:rsidRDefault="00AF55DE" w:rsidP="005F2EB2">
            <w:pPr>
              <w:pStyle w:val="NoSpacing"/>
              <w:rPr>
                <w:rFonts w:ascii="Arial" w:hAnsi="Arial" w:cs="Arial"/>
              </w:rPr>
            </w:pPr>
            <w:r w:rsidRPr="00CA768A">
              <w:rPr>
                <w:rFonts w:ascii="Arial" w:hAnsi="Arial" w:cs="Arial"/>
              </w:rPr>
              <w:t>Quarterly</w:t>
            </w:r>
          </w:p>
        </w:tc>
        <w:tc>
          <w:tcPr>
            <w:tcW w:w="2294" w:type="dxa"/>
            <w:tcBorders>
              <w:top w:val="single" w:sz="4" w:space="0" w:color="auto"/>
              <w:left w:val="single" w:sz="4" w:space="0" w:color="auto"/>
              <w:bottom w:val="single" w:sz="4" w:space="0" w:color="auto"/>
              <w:right w:val="single" w:sz="4" w:space="0" w:color="auto"/>
            </w:tcBorders>
          </w:tcPr>
          <w:p w14:paraId="3BFED254" w14:textId="77777777" w:rsidR="005F2EB2" w:rsidRPr="00CA768A" w:rsidRDefault="00AF55DE" w:rsidP="005F2EB2">
            <w:pPr>
              <w:pStyle w:val="NoSpacing"/>
              <w:rPr>
                <w:rFonts w:ascii="Arial" w:hAnsi="Arial" w:cs="Arial"/>
              </w:rPr>
            </w:pPr>
            <w:r w:rsidRPr="00CA768A">
              <w:rPr>
                <w:rFonts w:ascii="Arial" w:hAnsi="Arial" w:cs="Arial"/>
              </w:rPr>
              <w:t>Adults Services and Health and Wellbeing</w:t>
            </w:r>
          </w:p>
        </w:tc>
        <w:tc>
          <w:tcPr>
            <w:tcW w:w="874" w:type="dxa"/>
            <w:tcBorders>
              <w:top w:val="single" w:sz="4" w:space="0" w:color="auto"/>
              <w:left w:val="single" w:sz="4" w:space="0" w:color="auto"/>
              <w:bottom w:val="single" w:sz="4" w:space="0" w:color="auto"/>
              <w:right w:val="single" w:sz="4" w:space="0" w:color="auto"/>
            </w:tcBorders>
          </w:tcPr>
          <w:p w14:paraId="39D7AE84" w14:textId="77777777" w:rsidR="005F2EB2" w:rsidRPr="00CA768A" w:rsidRDefault="00AF55DE" w:rsidP="005F2EB2">
            <w:pPr>
              <w:pStyle w:val="NoSpacing"/>
              <w:rPr>
                <w:rFonts w:ascii="Arial" w:hAnsi="Arial" w:cs="Arial"/>
              </w:rPr>
            </w:pPr>
            <w:r w:rsidRPr="00CA768A">
              <w:rPr>
                <w:rFonts w:ascii="Arial" w:hAnsi="Arial" w:cs="Arial"/>
              </w:rPr>
              <w:t>High</w:t>
            </w:r>
          </w:p>
        </w:tc>
        <w:tc>
          <w:tcPr>
            <w:tcW w:w="121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63AB299" w14:textId="77777777" w:rsidR="005F2EB2" w:rsidRPr="00CA768A" w:rsidRDefault="00AF55DE" w:rsidP="005F2EB2">
            <w:pPr>
              <w:pStyle w:val="NoSpacing"/>
              <w:rPr>
                <w:rFonts w:ascii="Arial" w:hAnsi="Arial" w:cs="Arial"/>
              </w:rPr>
            </w:pPr>
            <w:r w:rsidRPr="00CA768A">
              <w:rPr>
                <w:rFonts w:ascii="Arial" w:hAnsi="Arial" w:cs="Arial"/>
              </w:rPr>
              <w:t>84.8%</w:t>
            </w:r>
          </w:p>
        </w:tc>
        <w:tc>
          <w:tcPr>
            <w:tcW w:w="105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A87868B" w14:textId="493D6823" w:rsidR="3A144FCD" w:rsidRDefault="00AF55DE" w:rsidP="62385CB5">
            <w:pPr>
              <w:pStyle w:val="NoSpacing"/>
              <w:rPr>
                <w:rFonts w:ascii="Arial" w:hAnsi="Arial" w:cs="Arial"/>
              </w:rPr>
            </w:pPr>
            <w:r w:rsidRPr="62385CB5">
              <w:rPr>
                <w:rFonts w:ascii="Arial" w:hAnsi="Arial" w:cs="Arial"/>
              </w:rPr>
              <w:t>83.9</w:t>
            </w:r>
            <w:r w:rsidR="3DF04B5B" w:rsidRPr="62385CB5">
              <w:rPr>
                <w:rFonts w:ascii="Arial" w:hAnsi="Arial" w:cs="Arial"/>
              </w:rPr>
              <w:t>%</w:t>
            </w:r>
          </w:p>
          <w:p w14:paraId="4BFE67FC" w14:textId="04AC9E56" w:rsidR="62385CB5" w:rsidRDefault="62385CB5" w:rsidP="62385CB5">
            <w:pPr>
              <w:pStyle w:val="NoSpacing"/>
            </w:pPr>
          </w:p>
        </w:tc>
        <w:tc>
          <w:tcPr>
            <w:tcW w:w="158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24DB940" w14:textId="54D14821" w:rsidR="7BE3F6D7" w:rsidRDefault="00AF55DE" w:rsidP="62385CB5">
            <w:pPr>
              <w:pStyle w:val="NoSpacing"/>
              <w:rPr>
                <w:rFonts w:ascii="Arial" w:hAnsi="Arial" w:cs="Arial"/>
              </w:rPr>
            </w:pPr>
            <w:r w:rsidRPr="62385CB5">
              <w:rPr>
                <w:rFonts w:ascii="Arial" w:hAnsi="Arial" w:cs="Arial"/>
              </w:rPr>
              <w:t>84.5</w:t>
            </w:r>
            <w:r w:rsidR="3DF04B5B" w:rsidRPr="62385CB5">
              <w:rPr>
                <w:rFonts w:ascii="Arial" w:hAnsi="Arial" w:cs="Arial"/>
              </w:rPr>
              <w:t>%</w:t>
            </w:r>
          </w:p>
          <w:p w14:paraId="497A4F0D" w14:textId="2B54273F" w:rsidR="62385CB5" w:rsidRDefault="62385CB5" w:rsidP="62385CB5">
            <w:pPr>
              <w:pStyle w:val="NoSpacing"/>
            </w:pPr>
          </w:p>
        </w:tc>
        <w:tc>
          <w:tcPr>
            <w:tcW w:w="168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D622F32" w14:textId="7FBF4C54" w:rsidR="0954FF8B" w:rsidRDefault="00AF55DE" w:rsidP="62385CB5">
            <w:pPr>
              <w:pStyle w:val="NoSpacing"/>
              <w:rPr>
                <w:rFonts w:ascii="Arial" w:hAnsi="Arial" w:cs="Arial"/>
              </w:rPr>
            </w:pPr>
            <w:r w:rsidRPr="78C3123E">
              <w:rPr>
                <w:rFonts w:ascii="Arial" w:hAnsi="Arial" w:cs="Arial"/>
              </w:rPr>
              <w:t>81.8</w:t>
            </w:r>
            <w:r w:rsidR="2546D806" w:rsidRPr="78C3123E">
              <w:rPr>
                <w:rFonts w:ascii="Arial" w:hAnsi="Arial" w:cs="Arial"/>
              </w:rPr>
              <w:t>%</w:t>
            </w:r>
          </w:p>
          <w:p w14:paraId="55259713" w14:textId="5B732865" w:rsidR="62385CB5" w:rsidRDefault="62385CB5" w:rsidP="62385CB5">
            <w:pPr>
              <w:pStyle w:val="NoSpacing"/>
            </w:pPr>
          </w:p>
        </w:tc>
        <w:tc>
          <w:tcPr>
            <w:tcW w:w="1055" w:type="dxa"/>
            <w:tcBorders>
              <w:top w:val="single" w:sz="4" w:space="0" w:color="auto"/>
              <w:left w:val="single" w:sz="4" w:space="0" w:color="auto"/>
              <w:bottom w:val="single" w:sz="4" w:space="0" w:color="auto"/>
              <w:right w:val="single" w:sz="4" w:space="0" w:color="auto"/>
            </w:tcBorders>
          </w:tcPr>
          <w:p w14:paraId="4AED0864" w14:textId="7BCF6FF3" w:rsidR="1EAD43AC" w:rsidRDefault="00AF55DE" w:rsidP="62385CB5">
            <w:pPr>
              <w:pStyle w:val="NoSpacing"/>
              <w:rPr>
                <w:rFonts w:ascii="Arial" w:hAnsi="Arial" w:cs="Arial"/>
              </w:rPr>
            </w:pPr>
            <w:r w:rsidRPr="62385CB5">
              <w:rPr>
                <w:rFonts w:ascii="Arial" w:hAnsi="Arial" w:cs="Arial"/>
              </w:rPr>
              <w:t>83.5</w:t>
            </w:r>
            <w:r w:rsidR="3DF04B5B" w:rsidRPr="62385CB5">
              <w:rPr>
                <w:rFonts w:ascii="Arial" w:hAnsi="Arial" w:cs="Arial"/>
              </w:rPr>
              <w:t>%</w:t>
            </w:r>
          </w:p>
          <w:p w14:paraId="651B3260" w14:textId="6C24A807" w:rsidR="62385CB5" w:rsidRDefault="62385CB5" w:rsidP="62385CB5">
            <w:pPr>
              <w:pStyle w:val="NoSpacing"/>
            </w:pPr>
          </w:p>
        </w:tc>
      </w:tr>
      <w:tr w:rsidR="00BB349C" w14:paraId="577D4B88" w14:textId="77777777" w:rsidTr="78C3123E">
        <w:trPr>
          <w:trHeight w:val="1830"/>
        </w:trPr>
        <w:tc>
          <w:tcPr>
            <w:tcW w:w="3180" w:type="dxa"/>
            <w:tcBorders>
              <w:top w:val="single" w:sz="4" w:space="0" w:color="auto"/>
              <w:left w:val="single" w:sz="4" w:space="0" w:color="auto"/>
              <w:bottom w:val="single" w:sz="4" w:space="0" w:color="auto"/>
              <w:right w:val="single" w:sz="4" w:space="0" w:color="auto"/>
            </w:tcBorders>
          </w:tcPr>
          <w:p w14:paraId="1943CB8C" w14:textId="77777777" w:rsidR="005F2EB2" w:rsidRPr="00CA768A" w:rsidRDefault="00AF55DE" w:rsidP="005F2EB2">
            <w:pPr>
              <w:pStyle w:val="NoSpacing"/>
              <w:rPr>
                <w:rFonts w:ascii="Arial" w:hAnsi="Arial" w:cs="Arial"/>
              </w:rPr>
            </w:pPr>
            <w:r w:rsidRPr="00CA768A">
              <w:rPr>
                <w:rFonts w:ascii="Arial" w:hAnsi="Arial" w:cs="Arial"/>
              </w:rPr>
              <w:t xml:space="preserve">Percentage care providers in the </w:t>
            </w:r>
            <w:r w:rsidRPr="00CA768A">
              <w:rPr>
                <w:rFonts w:ascii="Arial" w:hAnsi="Arial" w:cs="Arial"/>
              </w:rPr>
              <w:t>community rated as Good or Outstanding - all Community Based provision</w:t>
            </w:r>
          </w:p>
          <w:p w14:paraId="58E471C1" w14:textId="77777777" w:rsidR="005F2EB2" w:rsidRPr="00CA768A" w:rsidRDefault="00AF55DE" w:rsidP="005F2EB2">
            <w:pPr>
              <w:pStyle w:val="NoSpacing"/>
              <w:rPr>
                <w:rFonts w:ascii="Arial" w:hAnsi="Arial" w:cs="Arial"/>
              </w:rPr>
            </w:pPr>
            <w:r w:rsidRPr="00CA768A">
              <w:rPr>
                <w:rFonts w:ascii="Arial" w:hAnsi="Arial" w:cs="Arial"/>
              </w:rPr>
              <w:t>(LCC and non-LCC maintained)</w:t>
            </w:r>
          </w:p>
        </w:tc>
        <w:tc>
          <w:tcPr>
            <w:tcW w:w="1261" w:type="dxa"/>
            <w:tcBorders>
              <w:top w:val="single" w:sz="4" w:space="0" w:color="auto"/>
              <w:left w:val="single" w:sz="4" w:space="0" w:color="auto"/>
              <w:bottom w:val="single" w:sz="4" w:space="0" w:color="auto"/>
              <w:right w:val="single" w:sz="4" w:space="0" w:color="auto"/>
            </w:tcBorders>
          </w:tcPr>
          <w:p w14:paraId="4EECE649" w14:textId="77777777" w:rsidR="005F2EB2" w:rsidRPr="00CA768A" w:rsidRDefault="00AF55DE" w:rsidP="005F2EB2">
            <w:pPr>
              <w:pStyle w:val="NoSpacing"/>
              <w:rPr>
                <w:rFonts w:ascii="Arial" w:hAnsi="Arial" w:cs="Arial"/>
              </w:rPr>
            </w:pPr>
            <w:r w:rsidRPr="00CA768A">
              <w:rPr>
                <w:rFonts w:ascii="Arial" w:hAnsi="Arial" w:cs="Arial"/>
              </w:rPr>
              <w:t>Quarterly</w:t>
            </w:r>
          </w:p>
        </w:tc>
        <w:tc>
          <w:tcPr>
            <w:tcW w:w="2294" w:type="dxa"/>
            <w:tcBorders>
              <w:top w:val="single" w:sz="4" w:space="0" w:color="auto"/>
              <w:left w:val="single" w:sz="4" w:space="0" w:color="auto"/>
              <w:bottom w:val="single" w:sz="4" w:space="0" w:color="auto"/>
              <w:right w:val="single" w:sz="4" w:space="0" w:color="auto"/>
            </w:tcBorders>
          </w:tcPr>
          <w:p w14:paraId="714B4AF2" w14:textId="77777777" w:rsidR="005F2EB2" w:rsidRPr="00CA768A" w:rsidRDefault="00AF55DE" w:rsidP="005F2EB2">
            <w:pPr>
              <w:pStyle w:val="NoSpacing"/>
              <w:rPr>
                <w:rFonts w:ascii="Arial" w:hAnsi="Arial" w:cs="Arial"/>
              </w:rPr>
            </w:pPr>
            <w:r w:rsidRPr="00CA768A">
              <w:rPr>
                <w:rFonts w:ascii="Arial" w:hAnsi="Arial" w:cs="Arial"/>
              </w:rPr>
              <w:t>Adults Services and Health and Wellbeing</w:t>
            </w:r>
          </w:p>
        </w:tc>
        <w:tc>
          <w:tcPr>
            <w:tcW w:w="874" w:type="dxa"/>
            <w:tcBorders>
              <w:top w:val="single" w:sz="4" w:space="0" w:color="auto"/>
              <w:left w:val="single" w:sz="4" w:space="0" w:color="auto"/>
              <w:bottom w:val="single" w:sz="4" w:space="0" w:color="auto"/>
              <w:right w:val="single" w:sz="4" w:space="0" w:color="auto"/>
            </w:tcBorders>
          </w:tcPr>
          <w:p w14:paraId="70870A3E" w14:textId="77777777" w:rsidR="005F2EB2" w:rsidRPr="00CA768A" w:rsidRDefault="00AF55DE" w:rsidP="005F2EB2">
            <w:pPr>
              <w:pStyle w:val="NoSpacing"/>
              <w:rPr>
                <w:rFonts w:ascii="Arial" w:hAnsi="Arial" w:cs="Arial"/>
              </w:rPr>
            </w:pPr>
            <w:r w:rsidRPr="00CA768A">
              <w:rPr>
                <w:rFonts w:ascii="Arial" w:hAnsi="Arial" w:cs="Arial"/>
              </w:rPr>
              <w:t>High</w:t>
            </w:r>
          </w:p>
        </w:tc>
        <w:tc>
          <w:tcPr>
            <w:tcW w:w="121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F28A10C" w14:textId="77777777" w:rsidR="005F2EB2" w:rsidRPr="00CA768A" w:rsidRDefault="00AF55DE" w:rsidP="005F2EB2">
            <w:pPr>
              <w:pStyle w:val="NoSpacing"/>
              <w:rPr>
                <w:rFonts w:ascii="Arial" w:hAnsi="Arial" w:cs="Arial"/>
              </w:rPr>
            </w:pPr>
            <w:r w:rsidRPr="00CA768A">
              <w:rPr>
                <w:rFonts w:ascii="Arial" w:hAnsi="Arial" w:cs="Arial"/>
              </w:rPr>
              <w:t>94.2%</w:t>
            </w:r>
          </w:p>
        </w:tc>
        <w:tc>
          <w:tcPr>
            <w:tcW w:w="105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FAB7715" w14:textId="682A6371" w:rsidR="7EB943A2" w:rsidRDefault="00AF55DE" w:rsidP="62385CB5">
            <w:pPr>
              <w:pStyle w:val="NoSpacing"/>
              <w:rPr>
                <w:rFonts w:ascii="Arial" w:hAnsi="Arial" w:cs="Arial"/>
              </w:rPr>
            </w:pPr>
            <w:r w:rsidRPr="62385CB5">
              <w:rPr>
                <w:rFonts w:ascii="Arial" w:hAnsi="Arial" w:cs="Arial"/>
              </w:rPr>
              <w:t>95.6</w:t>
            </w:r>
            <w:r w:rsidR="530F80E6" w:rsidRPr="62385CB5">
              <w:rPr>
                <w:rFonts w:ascii="Arial" w:hAnsi="Arial" w:cs="Arial"/>
              </w:rPr>
              <w:t>%</w:t>
            </w:r>
          </w:p>
          <w:p w14:paraId="0223B5FA" w14:textId="00AC9B79" w:rsidR="62385CB5" w:rsidRDefault="62385CB5" w:rsidP="62385CB5">
            <w:pPr>
              <w:pStyle w:val="NoSpacing"/>
            </w:pPr>
          </w:p>
        </w:tc>
        <w:tc>
          <w:tcPr>
            <w:tcW w:w="158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BADA3D9" w14:textId="32587302" w:rsidR="4D065CDB" w:rsidRDefault="00AF55DE" w:rsidP="62385CB5">
            <w:pPr>
              <w:pStyle w:val="NoSpacing"/>
              <w:rPr>
                <w:rFonts w:ascii="Arial" w:hAnsi="Arial" w:cs="Arial"/>
              </w:rPr>
            </w:pPr>
            <w:r w:rsidRPr="78C3123E">
              <w:rPr>
                <w:rFonts w:ascii="Arial" w:hAnsi="Arial" w:cs="Arial"/>
              </w:rPr>
              <w:t>94.5</w:t>
            </w:r>
            <w:r w:rsidR="2A876E34" w:rsidRPr="78C3123E">
              <w:rPr>
                <w:rFonts w:ascii="Arial" w:hAnsi="Arial" w:cs="Arial"/>
              </w:rPr>
              <w:t>%</w:t>
            </w:r>
          </w:p>
          <w:p w14:paraId="38FF6C24" w14:textId="1D72461F" w:rsidR="62385CB5" w:rsidRDefault="62385CB5" w:rsidP="62385CB5">
            <w:pPr>
              <w:pStyle w:val="NoSpacing"/>
            </w:pPr>
          </w:p>
        </w:tc>
        <w:tc>
          <w:tcPr>
            <w:tcW w:w="168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A30BBFC" w14:textId="29635EF0" w:rsidR="04FE1A84" w:rsidRDefault="00AF55DE" w:rsidP="62385CB5">
            <w:pPr>
              <w:pStyle w:val="NoSpacing"/>
              <w:rPr>
                <w:rFonts w:ascii="Arial" w:hAnsi="Arial" w:cs="Arial"/>
              </w:rPr>
            </w:pPr>
            <w:r w:rsidRPr="62385CB5">
              <w:rPr>
                <w:rFonts w:ascii="Arial" w:hAnsi="Arial" w:cs="Arial"/>
              </w:rPr>
              <w:t>95.3</w:t>
            </w:r>
            <w:r w:rsidR="530F80E6" w:rsidRPr="62385CB5">
              <w:rPr>
                <w:rFonts w:ascii="Arial" w:hAnsi="Arial" w:cs="Arial"/>
              </w:rPr>
              <w:t>%</w:t>
            </w:r>
          </w:p>
          <w:p w14:paraId="35C51EEB" w14:textId="26459B1D" w:rsidR="62385CB5" w:rsidRDefault="62385CB5" w:rsidP="62385CB5">
            <w:pPr>
              <w:pStyle w:val="NoSpacing"/>
            </w:pPr>
          </w:p>
        </w:tc>
        <w:tc>
          <w:tcPr>
            <w:tcW w:w="1055" w:type="dxa"/>
            <w:tcBorders>
              <w:top w:val="single" w:sz="4" w:space="0" w:color="auto"/>
              <w:left w:val="single" w:sz="4" w:space="0" w:color="auto"/>
              <w:bottom w:val="single" w:sz="4" w:space="0" w:color="auto"/>
              <w:right w:val="single" w:sz="4" w:space="0" w:color="auto"/>
            </w:tcBorders>
          </w:tcPr>
          <w:p w14:paraId="44DB07EF" w14:textId="142E6BF2" w:rsidR="2201EB7A" w:rsidRDefault="00AF55DE" w:rsidP="62385CB5">
            <w:pPr>
              <w:pStyle w:val="NoSpacing"/>
              <w:rPr>
                <w:rFonts w:ascii="Arial" w:hAnsi="Arial" w:cs="Arial"/>
              </w:rPr>
            </w:pPr>
            <w:r w:rsidRPr="78C3123E">
              <w:rPr>
                <w:rFonts w:ascii="Arial" w:hAnsi="Arial" w:cs="Arial"/>
              </w:rPr>
              <w:t>96</w:t>
            </w:r>
            <w:r w:rsidR="2A876E34" w:rsidRPr="78C3123E">
              <w:rPr>
                <w:rFonts w:ascii="Arial" w:hAnsi="Arial" w:cs="Arial"/>
              </w:rPr>
              <w:t>.0%</w:t>
            </w:r>
          </w:p>
          <w:p w14:paraId="38D82508" w14:textId="31FD945C" w:rsidR="62385CB5" w:rsidRDefault="62385CB5" w:rsidP="62385CB5">
            <w:pPr>
              <w:pStyle w:val="NoSpacing"/>
            </w:pPr>
          </w:p>
        </w:tc>
      </w:tr>
    </w:tbl>
    <w:p w14:paraId="7CC78D93" w14:textId="122D4744" w:rsidR="0030579F" w:rsidRDefault="0030579F" w:rsidP="0030579F">
      <w:pPr>
        <w:rPr>
          <w:rFonts w:cs="Arial"/>
          <w:b/>
          <w:sz w:val="22"/>
          <w:szCs w:val="22"/>
        </w:rPr>
      </w:pPr>
    </w:p>
    <w:p w14:paraId="0F067918" w14:textId="133E0EF9" w:rsidR="00E4227B" w:rsidRPr="00EF7259" w:rsidRDefault="00AF55DE" w:rsidP="62385CB5">
      <w:pPr>
        <w:rPr>
          <w:rFonts w:eastAsia="Arial" w:cs="Arial"/>
          <w:color w:val="000000" w:themeColor="text1"/>
          <w:sz w:val="22"/>
          <w:szCs w:val="22"/>
        </w:rPr>
      </w:pPr>
      <w:r w:rsidRPr="62385CB5">
        <w:rPr>
          <w:rFonts w:eastAsia="Arial" w:cs="Arial"/>
          <w:b/>
          <w:bCs/>
          <w:color w:val="000000" w:themeColor="text1"/>
          <w:sz w:val="22"/>
          <w:szCs w:val="22"/>
        </w:rPr>
        <w:t>Safeguarding outcomes</w:t>
      </w:r>
      <w:r w:rsidRPr="62385CB5">
        <w:rPr>
          <w:rFonts w:eastAsia="Arial" w:cs="Arial"/>
          <w:b/>
          <w:bCs/>
          <w:color w:val="000000" w:themeColor="text1"/>
        </w:rPr>
        <w:t xml:space="preserve">. </w:t>
      </w:r>
      <w:r w:rsidR="00A4647C">
        <w:rPr>
          <w:rFonts w:eastAsia="Arial" w:cs="Arial"/>
          <w:color w:val="000000" w:themeColor="text1"/>
          <w:sz w:val="22"/>
          <w:szCs w:val="22"/>
        </w:rPr>
        <w:t xml:space="preserve"> </w:t>
      </w:r>
      <w:r w:rsidR="00A4647C" w:rsidRPr="00CA24C6">
        <w:rPr>
          <w:rFonts w:cs="Arial"/>
          <w:sz w:val="22"/>
          <w:szCs w:val="22"/>
        </w:rPr>
        <w:t xml:space="preserve">There has been an improved position </w:t>
      </w:r>
      <w:r w:rsidR="00A4647C">
        <w:rPr>
          <w:rFonts w:cs="Arial"/>
          <w:sz w:val="22"/>
          <w:szCs w:val="22"/>
        </w:rPr>
        <w:t>concerning</w:t>
      </w:r>
      <w:r w:rsidR="00A4647C" w:rsidRPr="00CA24C6">
        <w:rPr>
          <w:rFonts w:cs="Arial"/>
          <w:sz w:val="22"/>
          <w:szCs w:val="22"/>
        </w:rPr>
        <w:t xml:space="preserve"> the proportion of people who have indicated that their safeguarding outcomes were fully met, with performance rising to 65.9% within Quarter 1 of 2020/21.  97% of people indicated that their desired safeguarding outcomes were partially or fully achieved. There is no evidence to suggest that there has been any impact of the pandemic in relation to safeguarding reasons, with 'Neglect' and 'Acts of Omission' continuing to be consistently the highest reported concern.</w:t>
      </w:r>
    </w:p>
    <w:p w14:paraId="2D6B1EAF" w14:textId="1A1C2D88" w:rsidR="00D84FED" w:rsidRDefault="00AF55DE" w:rsidP="00D84FED">
      <w:pPr>
        <w:pStyle w:val="NoSpacing"/>
        <w:jc w:val="both"/>
        <w:rPr>
          <w:rFonts w:ascii="Arial" w:hAnsi="Arial" w:cs="Arial"/>
          <w:highlight w:val="magenta"/>
        </w:rPr>
      </w:pPr>
      <w:r w:rsidRPr="00DA20CA">
        <w:rPr>
          <w:rFonts w:ascii="Arial" w:eastAsia="Arial" w:hAnsi="Arial" w:cs="Arial"/>
          <w:b/>
          <w:bCs/>
        </w:rPr>
        <w:t>Quality of care homes</w:t>
      </w:r>
      <w:r w:rsidRPr="78C3123E">
        <w:rPr>
          <w:rFonts w:eastAsia="Arial" w:cs="Arial"/>
          <w:b/>
          <w:bCs/>
        </w:rPr>
        <w:t xml:space="preserve">. </w:t>
      </w:r>
      <w:r w:rsidRPr="00CA24C6">
        <w:rPr>
          <w:rFonts w:ascii="Arial" w:hAnsi="Arial" w:cs="Arial"/>
        </w:rPr>
        <w:t xml:space="preserve">Across Lancashire there has been a drop to 82% of care homes </w:t>
      </w:r>
      <w:r>
        <w:rPr>
          <w:rFonts w:ascii="Arial" w:hAnsi="Arial" w:cs="Arial"/>
        </w:rPr>
        <w:t>that a</w:t>
      </w:r>
      <w:r w:rsidRPr="00CA24C6">
        <w:rPr>
          <w:rFonts w:ascii="Arial" w:hAnsi="Arial" w:cs="Arial"/>
        </w:rPr>
        <w:t xml:space="preserve">re rated good or outstanding by the Care Quality </w:t>
      </w:r>
      <w:r w:rsidRPr="002E5DF4">
        <w:rPr>
          <w:rFonts w:ascii="Arial" w:hAnsi="Arial" w:cs="Arial"/>
        </w:rPr>
        <w:t xml:space="preserve">Commission (CQC), </w:t>
      </w:r>
      <w:r>
        <w:rPr>
          <w:rFonts w:ascii="Arial" w:hAnsi="Arial" w:cs="Arial"/>
        </w:rPr>
        <w:t xml:space="preserve">but this </w:t>
      </w:r>
      <w:r w:rsidRPr="002E5DF4">
        <w:rPr>
          <w:rFonts w:ascii="Arial" w:hAnsi="Arial" w:cs="Arial"/>
        </w:rPr>
        <w:t xml:space="preserve">is in line with national </w:t>
      </w:r>
      <w:r>
        <w:rPr>
          <w:rFonts w:ascii="Arial" w:hAnsi="Arial" w:cs="Arial"/>
        </w:rPr>
        <w:t xml:space="preserve">average figures </w:t>
      </w:r>
      <w:r w:rsidRPr="002E5DF4">
        <w:rPr>
          <w:rFonts w:ascii="Arial" w:hAnsi="Arial" w:cs="Arial"/>
        </w:rPr>
        <w:t xml:space="preserve">(82%). Inspections of care homes has started to commence again slowly across the country following the pandemic.  In Lancashire 28 inspections were published in the first quarter of 2021/22 compared to 11 in the same period in 2020/21. </w:t>
      </w:r>
      <w:r w:rsidRPr="000742CE">
        <w:rPr>
          <w:rFonts w:ascii="Arial" w:hAnsi="Arial" w:cs="Arial"/>
        </w:rPr>
        <w:t>Only 1 LCC maintaine</w:t>
      </w:r>
      <w:r w:rsidRPr="000742CE">
        <w:rPr>
          <w:rFonts w:ascii="Arial" w:hAnsi="Arial" w:cs="Arial"/>
        </w:rPr>
        <w:t>d care home was inspected in this period which was Grove House Home for Older People and that delivered a</w:t>
      </w:r>
      <w:r w:rsidR="00371C0F">
        <w:rPr>
          <w:rFonts w:ascii="Arial" w:hAnsi="Arial" w:cs="Arial"/>
        </w:rPr>
        <w:t xml:space="preserve"> CQC</w:t>
      </w:r>
      <w:r w:rsidRPr="000742CE">
        <w:rPr>
          <w:rFonts w:ascii="Arial" w:hAnsi="Arial" w:cs="Arial"/>
        </w:rPr>
        <w:t xml:space="preserve"> judgement of 'requires improvement'</w:t>
      </w:r>
      <w:r w:rsidR="000742CE">
        <w:rPr>
          <w:rFonts w:ascii="Arial" w:hAnsi="Arial" w:cs="Arial"/>
        </w:rPr>
        <w:t xml:space="preserve"> </w:t>
      </w:r>
      <w:r w:rsidR="00A92011" w:rsidRPr="00450289">
        <w:rPr>
          <w:rFonts w:ascii="Arial" w:hAnsi="Arial" w:cs="Arial"/>
        </w:rPr>
        <w:t>from</w:t>
      </w:r>
      <w:r w:rsidR="00737475" w:rsidRPr="00450289">
        <w:rPr>
          <w:rFonts w:ascii="Arial" w:hAnsi="Arial" w:cs="Arial"/>
        </w:rPr>
        <w:t xml:space="preserve"> previously</w:t>
      </w:r>
      <w:r w:rsidR="00A92011" w:rsidRPr="00450289">
        <w:rPr>
          <w:rFonts w:ascii="Arial" w:hAnsi="Arial" w:cs="Arial"/>
        </w:rPr>
        <w:t xml:space="preserve"> being</w:t>
      </w:r>
      <w:r w:rsidR="00D502BF" w:rsidRPr="00450289">
        <w:rPr>
          <w:rFonts w:ascii="Arial" w:hAnsi="Arial" w:cs="Arial"/>
        </w:rPr>
        <w:t xml:space="preserve"> judged as </w:t>
      </w:r>
      <w:r w:rsidR="00737475" w:rsidRPr="00450289">
        <w:rPr>
          <w:rFonts w:ascii="Arial" w:hAnsi="Arial" w:cs="Arial"/>
        </w:rPr>
        <w:t>'</w:t>
      </w:r>
      <w:r w:rsidR="00D502BF" w:rsidRPr="00450289">
        <w:rPr>
          <w:rFonts w:ascii="Arial" w:hAnsi="Arial" w:cs="Arial"/>
        </w:rPr>
        <w:t>good</w:t>
      </w:r>
      <w:r w:rsidR="00737475" w:rsidRPr="00450289">
        <w:rPr>
          <w:rFonts w:ascii="Arial" w:hAnsi="Arial" w:cs="Arial"/>
        </w:rPr>
        <w:t>'.</w:t>
      </w:r>
    </w:p>
    <w:p w14:paraId="0184DB12" w14:textId="77777777" w:rsidR="00D84FED" w:rsidRPr="00FD4E5C" w:rsidRDefault="00D84FED" w:rsidP="00D84FED">
      <w:pPr>
        <w:pStyle w:val="NoSpacing"/>
        <w:jc w:val="both"/>
        <w:rPr>
          <w:rFonts w:ascii="Arial" w:hAnsi="Arial" w:cs="Arial"/>
        </w:rPr>
      </w:pPr>
    </w:p>
    <w:p w14:paraId="60D4FD8E" w14:textId="5BC09646" w:rsidR="00D84FED" w:rsidRPr="00FD4E5C" w:rsidRDefault="00AF55DE" w:rsidP="00D84FED">
      <w:pPr>
        <w:pStyle w:val="NoSpacing"/>
        <w:jc w:val="both"/>
        <w:rPr>
          <w:rFonts w:ascii="Arial" w:hAnsi="Arial" w:cs="Arial"/>
        </w:rPr>
      </w:pPr>
      <w:r w:rsidRPr="00FD4E5C">
        <w:rPr>
          <w:rFonts w:ascii="Arial" w:hAnsi="Arial" w:cs="Arial"/>
        </w:rPr>
        <w:t>Lancashire County Council maintains 16 care homes for older people,12</w:t>
      </w:r>
      <w:r w:rsidRPr="00FD4E5C">
        <w:rPr>
          <w:rFonts w:ascii="Arial" w:hAnsi="Arial" w:cs="Arial"/>
        </w:rPr>
        <w:t xml:space="preserve"> of which are currently rated good or outstanding with four care homes requiring improvement. The homes currently rated as requiring improvement are Castleford,</w:t>
      </w:r>
      <w:r w:rsidR="004301CF">
        <w:rPr>
          <w:rFonts w:ascii="Arial" w:hAnsi="Arial" w:cs="Arial"/>
        </w:rPr>
        <w:t xml:space="preserve"> Clitheroe</w:t>
      </w:r>
      <w:r w:rsidR="002744DD">
        <w:rPr>
          <w:rFonts w:ascii="Arial" w:hAnsi="Arial" w:cs="Arial"/>
        </w:rPr>
        <w:t>;</w:t>
      </w:r>
      <w:r w:rsidRPr="00FD4E5C">
        <w:rPr>
          <w:rFonts w:ascii="Arial" w:hAnsi="Arial" w:cs="Arial"/>
        </w:rPr>
        <w:t xml:space="preserve"> Dolphinlee,</w:t>
      </w:r>
      <w:r w:rsidR="00BF2D13">
        <w:rPr>
          <w:rFonts w:ascii="Arial" w:hAnsi="Arial" w:cs="Arial"/>
        </w:rPr>
        <w:t xml:space="preserve"> </w:t>
      </w:r>
      <w:r w:rsidR="00AD1BBE">
        <w:rPr>
          <w:rFonts w:ascii="Arial" w:hAnsi="Arial" w:cs="Arial"/>
        </w:rPr>
        <w:t>Lancaster;</w:t>
      </w:r>
      <w:r w:rsidRPr="00FD4E5C">
        <w:rPr>
          <w:rFonts w:ascii="Arial" w:hAnsi="Arial" w:cs="Arial"/>
        </w:rPr>
        <w:t xml:space="preserve"> Woodlands</w:t>
      </w:r>
      <w:r w:rsidR="00AD1BBE">
        <w:rPr>
          <w:rFonts w:ascii="Arial" w:hAnsi="Arial" w:cs="Arial"/>
        </w:rPr>
        <w:t>,</w:t>
      </w:r>
      <w:r w:rsidR="00EF3A70">
        <w:rPr>
          <w:rFonts w:ascii="Arial" w:hAnsi="Arial" w:cs="Arial"/>
        </w:rPr>
        <w:t xml:space="preserve"> Clayton-le-Moors</w:t>
      </w:r>
      <w:r w:rsidR="00734A40">
        <w:rPr>
          <w:rFonts w:ascii="Arial" w:hAnsi="Arial" w:cs="Arial"/>
        </w:rPr>
        <w:t xml:space="preserve"> </w:t>
      </w:r>
      <w:r w:rsidRPr="00FD4E5C">
        <w:rPr>
          <w:rFonts w:ascii="Arial" w:hAnsi="Arial" w:cs="Arial"/>
        </w:rPr>
        <w:t>and Grove House</w:t>
      </w:r>
      <w:r w:rsidR="00EF3A70">
        <w:rPr>
          <w:rFonts w:ascii="Arial" w:hAnsi="Arial" w:cs="Arial"/>
        </w:rPr>
        <w:t>, Adlington</w:t>
      </w:r>
      <w:r w:rsidRPr="00FD4E5C">
        <w:rPr>
          <w:rFonts w:ascii="Arial" w:hAnsi="Arial" w:cs="Arial"/>
        </w:rPr>
        <w:t>. Three</w:t>
      </w:r>
      <w:r w:rsidRPr="00FD4E5C">
        <w:rPr>
          <w:rFonts w:ascii="Arial" w:hAnsi="Arial" w:cs="Arial"/>
        </w:rPr>
        <w:t xml:space="preserve"> of these inspections took place in 2019 and the themes across the homes identified issues with record keeping, responsiveness to call bells, staff skill mix, staff shortages, quality assurance processes, handling of medicines and service management and le</w:t>
      </w:r>
      <w:r w:rsidRPr="00FD4E5C">
        <w:rPr>
          <w:rFonts w:ascii="Arial" w:hAnsi="Arial" w:cs="Arial"/>
        </w:rPr>
        <w:t>adership. Actions have been put in place to address these issues and resolve any behaviours identified.</w:t>
      </w:r>
      <w:r w:rsidRPr="00FD4E5C">
        <w:rPr>
          <w:rFonts w:ascii="Arial" w:hAnsi="Arial" w:cs="Arial"/>
          <w:b/>
          <w:bCs/>
          <w:color w:val="FF0000"/>
        </w:rPr>
        <w:t xml:space="preserve">  </w:t>
      </w:r>
    </w:p>
    <w:p w14:paraId="66101D62" w14:textId="77777777" w:rsidR="00D84FED" w:rsidRPr="00FD4E5C" w:rsidRDefault="00D84FED" w:rsidP="00D84FED">
      <w:pPr>
        <w:rPr>
          <w:rFonts w:cs="Arial"/>
          <w:sz w:val="22"/>
          <w:szCs w:val="22"/>
        </w:rPr>
      </w:pPr>
    </w:p>
    <w:p w14:paraId="6E13BA6A" w14:textId="33894782" w:rsidR="00E4227B" w:rsidRPr="00EF7259" w:rsidRDefault="00AF55DE" w:rsidP="62385CB5">
      <w:pPr>
        <w:rPr>
          <w:rFonts w:cs="Arial"/>
          <w:sz w:val="22"/>
          <w:szCs w:val="22"/>
        </w:rPr>
      </w:pPr>
      <w:r w:rsidRPr="00FD4E5C">
        <w:rPr>
          <w:rFonts w:cs="Arial"/>
          <w:sz w:val="22"/>
          <w:szCs w:val="22"/>
        </w:rPr>
        <w:t xml:space="preserve">Lancashire County Council also maintains 8 residential short break services for people with disabilities, two are currently rated as </w:t>
      </w:r>
      <w:r w:rsidRPr="00FD4E5C">
        <w:rPr>
          <w:rFonts w:cs="Arial"/>
          <w:sz w:val="22"/>
          <w:szCs w:val="22"/>
        </w:rPr>
        <w:t>outstanding and six as good.</w:t>
      </w:r>
    </w:p>
    <w:p w14:paraId="08A6216D" w14:textId="77777777" w:rsidR="00CA4B50" w:rsidRPr="008751FA" w:rsidRDefault="00AF55DE" w:rsidP="00CA4B50">
      <w:pPr>
        <w:pStyle w:val="CommentText"/>
        <w:spacing w:after="0"/>
        <w:rPr>
          <w:rFonts w:cs="Arial"/>
          <w:color w:val="auto"/>
          <w:sz w:val="22"/>
          <w:szCs w:val="22"/>
        </w:rPr>
      </w:pPr>
      <w:r w:rsidRPr="78C3123E">
        <w:rPr>
          <w:rFonts w:eastAsia="Arial" w:cs="Arial"/>
          <w:b/>
          <w:bCs/>
          <w:color w:val="000000" w:themeColor="text1"/>
          <w:sz w:val="22"/>
          <w:szCs w:val="22"/>
        </w:rPr>
        <w:t>Quality of community service providers.</w:t>
      </w:r>
      <w:r w:rsidRPr="78C3123E">
        <w:rPr>
          <w:rFonts w:eastAsia="Arial" w:cs="Arial"/>
          <w:color w:val="000000" w:themeColor="text1"/>
          <w:sz w:val="22"/>
          <w:szCs w:val="22"/>
        </w:rPr>
        <w:t xml:space="preserve"> </w:t>
      </w:r>
      <w:r w:rsidRPr="008751FA">
        <w:rPr>
          <w:rFonts w:cs="Arial"/>
          <w:sz w:val="22"/>
          <w:szCs w:val="22"/>
        </w:rPr>
        <w:t>Community care providers help people to live independently by offering care and support for people with learning disabilities,</w:t>
      </w:r>
      <w:r>
        <w:rPr>
          <w:rFonts w:cs="Arial"/>
          <w:sz w:val="22"/>
          <w:szCs w:val="22"/>
        </w:rPr>
        <w:t xml:space="preserve"> many older adults with </w:t>
      </w:r>
      <w:r w:rsidRPr="008751FA">
        <w:rPr>
          <w:rFonts w:cs="Arial"/>
          <w:sz w:val="22"/>
          <w:szCs w:val="22"/>
        </w:rPr>
        <w:t>acute or chronic conditions, mental h</w:t>
      </w:r>
      <w:r w:rsidRPr="008751FA">
        <w:rPr>
          <w:rFonts w:cs="Arial"/>
          <w:sz w:val="22"/>
          <w:szCs w:val="22"/>
        </w:rPr>
        <w:t>ealth needs</w:t>
      </w:r>
      <w:r>
        <w:rPr>
          <w:rFonts w:cs="Arial"/>
          <w:sz w:val="22"/>
          <w:szCs w:val="22"/>
        </w:rPr>
        <w:t>, physical disability</w:t>
      </w:r>
      <w:r w:rsidRPr="008751FA">
        <w:rPr>
          <w:rFonts w:cs="Arial"/>
          <w:sz w:val="22"/>
          <w:szCs w:val="22"/>
        </w:rPr>
        <w:t xml:space="preserve"> or substance misuse problems. </w:t>
      </w:r>
      <w:r>
        <w:rPr>
          <w:rFonts w:cs="Arial"/>
          <w:sz w:val="22"/>
          <w:szCs w:val="22"/>
        </w:rPr>
        <w:t xml:space="preserve">Typically, most services are either 'domiciliary care' or 'supported living' services.  </w:t>
      </w:r>
      <w:r w:rsidRPr="008751FA">
        <w:rPr>
          <w:rFonts w:cs="Arial"/>
          <w:sz w:val="22"/>
          <w:szCs w:val="22"/>
        </w:rPr>
        <w:t xml:space="preserve"> Across Lancashire, almost 96% of community care providers were rated as good or outstanding by the CQC, </w:t>
      </w:r>
      <w:r w:rsidRPr="008751FA">
        <w:rPr>
          <w:rFonts w:cs="Arial"/>
          <w:sz w:val="22"/>
          <w:szCs w:val="22"/>
        </w:rPr>
        <w:t xml:space="preserve">which is better than national </w:t>
      </w:r>
      <w:r>
        <w:rPr>
          <w:rFonts w:cs="Arial"/>
          <w:sz w:val="22"/>
          <w:szCs w:val="22"/>
        </w:rPr>
        <w:t>averages</w:t>
      </w:r>
      <w:r w:rsidRPr="008751FA">
        <w:rPr>
          <w:rFonts w:cs="Arial"/>
          <w:sz w:val="22"/>
          <w:szCs w:val="22"/>
        </w:rPr>
        <w:t xml:space="preserve"> (88%).  LCC maintains 9 community care providers, 8 of which are supported living services and are all rated as good. The 'Shared Lives' service </w:t>
      </w:r>
      <w:r w:rsidRPr="008751FA">
        <w:rPr>
          <w:rFonts w:cs="Arial"/>
          <w:color w:val="auto"/>
          <w:sz w:val="22"/>
          <w:szCs w:val="22"/>
        </w:rPr>
        <w:t xml:space="preserve">matches adults with learning disabilities, physical disabilities, older </w:t>
      </w:r>
      <w:r w:rsidRPr="008751FA">
        <w:rPr>
          <w:rFonts w:cs="Arial"/>
          <w:color w:val="auto"/>
          <w:sz w:val="22"/>
          <w:szCs w:val="22"/>
        </w:rPr>
        <w:t>people and/or mental health needs with carers and their families, to live within their home, and become part of their family. The people living in Shared Lives continue to see their own family and friends as much as they want.  This service is the largest</w:t>
      </w:r>
      <w:r>
        <w:rPr>
          <w:rFonts w:cs="Arial"/>
          <w:color w:val="auto"/>
          <w:sz w:val="22"/>
          <w:szCs w:val="22"/>
        </w:rPr>
        <w:t xml:space="preserve"> </w:t>
      </w:r>
      <w:r>
        <w:rPr>
          <w:rFonts w:cs="Arial"/>
          <w:color w:val="auto"/>
          <w:sz w:val="22"/>
          <w:szCs w:val="22"/>
        </w:rPr>
        <w:t>of its kind</w:t>
      </w:r>
      <w:r w:rsidRPr="008751FA">
        <w:rPr>
          <w:rFonts w:cs="Arial"/>
          <w:color w:val="auto"/>
          <w:sz w:val="22"/>
          <w:szCs w:val="22"/>
        </w:rPr>
        <w:t xml:space="preserve"> in the country and is rated outstanding by CQC.</w:t>
      </w:r>
    </w:p>
    <w:p w14:paraId="5C8FB9E5" w14:textId="2AA53693" w:rsidR="60B40AD9" w:rsidRDefault="60B40AD9" w:rsidP="62385CB5">
      <w:pPr>
        <w:rPr>
          <w:color w:val="000000" w:themeColor="text1"/>
        </w:rPr>
      </w:pPr>
    </w:p>
    <w:p w14:paraId="5E61F15F" w14:textId="3D1DA900" w:rsidR="00504E2B" w:rsidRDefault="00AF55DE" w:rsidP="00504E2B">
      <w:pPr>
        <w:pStyle w:val="CommentText"/>
        <w:spacing w:after="0"/>
        <w:rPr>
          <w:rFonts w:cs="Arial"/>
          <w:color w:val="auto"/>
          <w:sz w:val="22"/>
          <w:szCs w:val="22"/>
        </w:rPr>
      </w:pPr>
      <w:r w:rsidRPr="008751FA">
        <w:rPr>
          <w:rFonts w:cs="Arial"/>
          <w:color w:val="auto"/>
          <w:sz w:val="22"/>
          <w:szCs w:val="22"/>
        </w:rPr>
        <w:t xml:space="preserve">Inspections of community providers has also started to increase following the pandemic, with 9 inspections being published throughout Lancashire in the first quarter of 2021/22 (compared to 3 in </w:t>
      </w:r>
      <w:r w:rsidRPr="008751FA">
        <w:rPr>
          <w:rFonts w:cs="Arial"/>
          <w:color w:val="auto"/>
          <w:sz w:val="22"/>
          <w:szCs w:val="22"/>
        </w:rPr>
        <w:t>the same period in 2020/21)</w:t>
      </w:r>
      <w:r>
        <w:rPr>
          <w:rFonts w:cs="Arial"/>
          <w:color w:val="auto"/>
          <w:sz w:val="22"/>
          <w:szCs w:val="22"/>
        </w:rPr>
        <w:t>.  There have been no LCC operated community services inspected in the first quarter of 2021/22</w:t>
      </w:r>
      <w:r w:rsidR="00E56FA8">
        <w:rPr>
          <w:rFonts w:cs="Arial"/>
          <w:color w:val="auto"/>
          <w:sz w:val="22"/>
          <w:szCs w:val="22"/>
        </w:rPr>
        <w:t>.</w:t>
      </w:r>
    </w:p>
    <w:p w14:paraId="4BE15D6B" w14:textId="1BD22249" w:rsidR="62385CB5" w:rsidRDefault="62385CB5" w:rsidP="62385CB5">
      <w:pPr>
        <w:rPr>
          <w:color w:val="000000" w:themeColor="text1"/>
        </w:rPr>
      </w:pPr>
    </w:p>
    <w:p w14:paraId="2E0550D0" w14:textId="4B193EA3" w:rsidR="00020A1B" w:rsidRDefault="00AF55DE" w:rsidP="00020A1B">
      <w:pPr>
        <w:pStyle w:val="Heading2"/>
        <w:rPr>
          <w:szCs w:val="32"/>
        </w:rPr>
      </w:pPr>
      <w:r>
        <w:rPr>
          <w:szCs w:val="32"/>
        </w:rPr>
        <w:lastRenderedPageBreak/>
        <w:t>L</w:t>
      </w:r>
      <w:r w:rsidR="00D85B53" w:rsidRPr="0085231B">
        <w:rPr>
          <w:szCs w:val="32"/>
        </w:rPr>
        <w:t>ancashire will be the place to work</w:t>
      </w:r>
    </w:p>
    <w:tbl>
      <w:tblPr>
        <w:tblW w:w="140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1350"/>
        <w:gridCol w:w="1410"/>
        <w:gridCol w:w="1290"/>
        <w:gridCol w:w="1290"/>
        <w:gridCol w:w="1350"/>
        <w:gridCol w:w="1440"/>
        <w:gridCol w:w="1485"/>
        <w:gridCol w:w="2032"/>
      </w:tblGrid>
      <w:tr w:rsidR="00BB349C" w14:paraId="741BC879" w14:textId="77777777" w:rsidTr="62385CB5">
        <w:trPr>
          <w:trHeight w:val="708"/>
        </w:trPr>
        <w:tc>
          <w:tcPr>
            <w:tcW w:w="2370" w:type="dxa"/>
            <w:tcBorders>
              <w:top w:val="single" w:sz="4" w:space="0" w:color="auto"/>
              <w:left w:val="single" w:sz="4" w:space="0" w:color="auto"/>
              <w:bottom w:val="single" w:sz="4" w:space="0" w:color="auto"/>
              <w:right w:val="single" w:sz="4" w:space="0" w:color="auto"/>
            </w:tcBorders>
            <w:hideMark/>
          </w:tcPr>
          <w:p w14:paraId="10E25B9A" w14:textId="77777777" w:rsidR="00931587" w:rsidRPr="005669BE" w:rsidRDefault="00AF55DE" w:rsidP="00BE6BC7">
            <w:pPr>
              <w:pStyle w:val="NoSpacing"/>
              <w:rPr>
                <w:rFonts w:ascii="Arial" w:hAnsi="Arial" w:cs="Arial"/>
                <w:b/>
                <w:highlight w:val="yellow"/>
              </w:rPr>
            </w:pPr>
            <w:bookmarkStart w:id="1" w:name="_Hlk74313838"/>
            <w:r w:rsidRPr="00FA30B2">
              <w:rPr>
                <w:rFonts w:ascii="Arial" w:hAnsi="Arial" w:cs="Arial"/>
                <w:b/>
              </w:rPr>
              <w:t>Performance Indicator</w:t>
            </w:r>
          </w:p>
        </w:tc>
        <w:tc>
          <w:tcPr>
            <w:tcW w:w="1350" w:type="dxa"/>
            <w:tcBorders>
              <w:top w:val="single" w:sz="4" w:space="0" w:color="auto"/>
              <w:left w:val="single" w:sz="4" w:space="0" w:color="auto"/>
              <w:bottom w:val="single" w:sz="4" w:space="0" w:color="auto"/>
              <w:right w:val="single" w:sz="4" w:space="0" w:color="auto"/>
            </w:tcBorders>
            <w:hideMark/>
          </w:tcPr>
          <w:p w14:paraId="56E0D4B2" w14:textId="77777777" w:rsidR="00931587" w:rsidRPr="005669BE" w:rsidRDefault="00AF55DE" w:rsidP="00BE6BC7">
            <w:pPr>
              <w:pStyle w:val="NoSpacing"/>
              <w:rPr>
                <w:rFonts w:ascii="Arial" w:hAnsi="Arial" w:cs="Arial"/>
                <w:b/>
                <w:highlight w:val="yellow"/>
              </w:rPr>
            </w:pPr>
            <w:r w:rsidRPr="00FA30B2">
              <w:rPr>
                <w:rFonts w:ascii="Arial" w:hAnsi="Arial" w:cs="Arial"/>
                <w:b/>
              </w:rPr>
              <w:t>Frequency</w:t>
            </w:r>
          </w:p>
        </w:tc>
        <w:tc>
          <w:tcPr>
            <w:tcW w:w="1410" w:type="dxa"/>
            <w:tcBorders>
              <w:top w:val="single" w:sz="4" w:space="0" w:color="auto"/>
              <w:left w:val="single" w:sz="4" w:space="0" w:color="auto"/>
              <w:bottom w:val="single" w:sz="4" w:space="0" w:color="auto"/>
              <w:right w:val="single" w:sz="4" w:space="0" w:color="auto"/>
            </w:tcBorders>
          </w:tcPr>
          <w:p w14:paraId="0A4CA1E2" w14:textId="77777777" w:rsidR="00931587" w:rsidRPr="005669BE" w:rsidRDefault="00AF55DE" w:rsidP="00BE6BC7">
            <w:pPr>
              <w:pStyle w:val="NoSpacing"/>
              <w:rPr>
                <w:rFonts w:ascii="Arial" w:hAnsi="Arial" w:cs="Arial"/>
                <w:b/>
                <w:highlight w:val="yellow"/>
              </w:rPr>
            </w:pPr>
            <w:r w:rsidRPr="00FA30B2">
              <w:rPr>
                <w:rFonts w:ascii="Arial" w:hAnsi="Arial" w:cs="Arial"/>
                <w:b/>
              </w:rPr>
              <w:t xml:space="preserve">Directorate </w:t>
            </w:r>
          </w:p>
        </w:tc>
        <w:tc>
          <w:tcPr>
            <w:tcW w:w="1290" w:type="dxa"/>
            <w:tcBorders>
              <w:top w:val="single" w:sz="4" w:space="0" w:color="auto"/>
              <w:left w:val="single" w:sz="4" w:space="0" w:color="auto"/>
              <w:bottom w:val="single" w:sz="4" w:space="0" w:color="auto"/>
              <w:right w:val="single" w:sz="4" w:space="0" w:color="auto"/>
            </w:tcBorders>
          </w:tcPr>
          <w:p w14:paraId="38EB2030" w14:textId="77777777" w:rsidR="00931587" w:rsidRPr="005669BE" w:rsidRDefault="00AF55DE" w:rsidP="00BE6BC7">
            <w:pPr>
              <w:pStyle w:val="NoSpacing"/>
              <w:rPr>
                <w:rFonts w:ascii="Arial" w:hAnsi="Arial" w:cs="Arial"/>
                <w:b/>
                <w:highlight w:val="yellow"/>
              </w:rPr>
            </w:pPr>
            <w:r>
              <w:rPr>
                <w:rFonts w:ascii="Arial" w:hAnsi="Arial" w:cs="Arial"/>
                <w:b/>
              </w:rPr>
              <w:t>Good is</w:t>
            </w:r>
          </w:p>
        </w:tc>
        <w:tc>
          <w:tcPr>
            <w:tcW w:w="1290" w:type="dxa"/>
            <w:tcBorders>
              <w:top w:val="single" w:sz="4" w:space="0" w:color="auto"/>
              <w:left w:val="single" w:sz="4" w:space="0" w:color="auto"/>
              <w:bottom w:val="single" w:sz="4" w:space="0" w:color="auto"/>
              <w:right w:val="single" w:sz="4" w:space="0" w:color="auto"/>
            </w:tcBorders>
          </w:tcPr>
          <w:p w14:paraId="2F3E970C" w14:textId="77777777" w:rsidR="00931587" w:rsidRPr="005669BE" w:rsidRDefault="00AF55DE" w:rsidP="62385CB5">
            <w:pPr>
              <w:pStyle w:val="NoSpacing"/>
              <w:jc w:val="center"/>
              <w:rPr>
                <w:rFonts w:ascii="Arial" w:hAnsi="Arial" w:cs="Arial"/>
                <w:b/>
                <w:bCs/>
                <w:highlight w:val="yellow"/>
              </w:rPr>
            </w:pPr>
            <w:r w:rsidRPr="62385CB5">
              <w:rPr>
                <w:rFonts w:ascii="Arial" w:hAnsi="Arial" w:cs="Arial"/>
                <w:b/>
                <w:bCs/>
              </w:rPr>
              <w:t>2019/20 Outturn</w:t>
            </w:r>
          </w:p>
        </w:tc>
        <w:tc>
          <w:tcPr>
            <w:tcW w:w="1350" w:type="dxa"/>
            <w:tcBorders>
              <w:top w:val="single" w:sz="4" w:space="0" w:color="auto"/>
              <w:left w:val="single" w:sz="4" w:space="0" w:color="auto"/>
              <w:bottom w:val="single" w:sz="4" w:space="0" w:color="auto"/>
              <w:right w:val="single" w:sz="4" w:space="0" w:color="auto"/>
            </w:tcBorders>
          </w:tcPr>
          <w:p w14:paraId="55DE74B9" w14:textId="7FCFB4D2" w:rsidR="7317AF1D" w:rsidRDefault="00AF55DE" w:rsidP="62385CB5">
            <w:pPr>
              <w:pStyle w:val="NoSpacing"/>
              <w:jc w:val="center"/>
              <w:rPr>
                <w:rFonts w:ascii="Arial" w:hAnsi="Arial" w:cs="Arial"/>
                <w:b/>
                <w:bCs/>
              </w:rPr>
            </w:pPr>
            <w:r w:rsidRPr="62385CB5">
              <w:rPr>
                <w:rFonts w:ascii="Arial" w:hAnsi="Arial" w:cs="Arial"/>
                <w:b/>
                <w:bCs/>
              </w:rPr>
              <w:t>2020/21 Outturn</w:t>
            </w:r>
          </w:p>
        </w:tc>
        <w:tc>
          <w:tcPr>
            <w:tcW w:w="1440" w:type="dxa"/>
            <w:tcBorders>
              <w:top w:val="single" w:sz="4" w:space="0" w:color="auto"/>
              <w:left w:val="single" w:sz="4" w:space="0" w:color="auto"/>
              <w:bottom w:val="single" w:sz="4" w:space="0" w:color="auto"/>
              <w:right w:val="single" w:sz="4" w:space="0" w:color="auto"/>
            </w:tcBorders>
          </w:tcPr>
          <w:p w14:paraId="0F357763" w14:textId="77777777" w:rsidR="00931587" w:rsidRPr="005669BE" w:rsidRDefault="00AF55DE" w:rsidP="00BE6BC7">
            <w:pPr>
              <w:pStyle w:val="NoSpacing"/>
              <w:rPr>
                <w:rFonts w:ascii="Arial" w:hAnsi="Arial" w:cs="Arial"/>
                <w:b/>
                <w:highlight w:val="yellow"/>
              </w:rPr>
            </w:pPr>
            <w:r>
              <w:rPr>
                <w:rFonts w:ascii="Arial" w:hAnsi="Arial" w:cs="Arial"/>
                <w:b/>
              </w:rPr>
              <w:t xml:space="preserve">2020/21 Quarter 1 </w:t>
            </w:r>
            <w:r w:rsidRPr="00F044C2">
              <w:rPr>
                <w:rFonts w:ascii="Arial" w:hAnsi="Arial" w:cs="Arial"/>
                <w:b/>
                <w:sz w:val="18"/>
              </w:rPr>
              <w:t>(April –June)</w:t>
            </w:r>
          </w:p>
        </w:tc>
        <w:tc>
          <w:tcPr>
            <w:tcW w:w="1485" w:type="dxa"/>
            <w:tcBorders>
              <w:top w:val="single" w:sz="4" w:space="0" w:color="auto"/>
              <w:left w:val="single" w:sz="4" w:space="0" w:color="auto"/>
              <w:bottom w:val="single" w:sz="4" w:space="0" w:color="auto"/>
              <w:right w:val="single" w:sz="4" w:space="0" w:color="auto"/>
            </w:tcBorders>
          </w:tcPr>
          <w:p w14:paraId="3E9998CB" w14:textId="23306E02" w:rsidR="6C7D7115" w:rsidRDefault="00AF55DE" w:rsidP="62385CB5">
            <w:pPr>
              <w:pStyle w:val="NoSpacing"/>
              <w:rPr>
                <w:rFonts w:ascii="Arial" w:hAnsi="Arial" w:cs="Arial"/>
                <w:b/>
                <w:bCs/>
              </w:rPr>
            </w:pPr>
            <w:r w:rsidRPr="62385CB5">
              <w:rPr>
                <w:rFonts w:ascii="Arial" w:hAnsi="Arial" w:cs="Arial"/>
                <w:b/>
                <w:bCs/>
              </w:rPr>
              <w:t xml:space="preserve">2021/22 Quarter 1 </w:t>
            </w:r>
            <w:r w:rsidRPr="62385CB5">
              <w:rPr>
                <w:rFonts w:ascii="Arial" w:hAnsi="Arial" w:cs="Arial"/>
                <w:b/>
                <w:bCs/>
                <w:sz w:val="18"/>
                <w:szCs w:val="18"/>
              </w:rPr>
              <w:t>(April –June)</w:t>
            </w:r>
          </w:p>
          <w:p w14:paraId="34D4D3D6" w14:textId="71F07883" w:rsidR="62385CB5" w:rsidRDefault="62385CB5" w:rsidP="62385CB5">
            <w:pPr>
              <w:pStyle w:val="NoSpacing"/>
              <w:rPr>
                <w:b/>
                <w:bCs/>
              </w:rPr>
            </w:pPr>
          </w:p>
        </w:tc>
        <w:tc>
          <w:tcPr>
            <w:tcW w:w="2032" w:type="dxa"/>
            <w:tcBorders>
              <w:top w:val="single" w:sz="4" w:space="0" w:color="auto"/>
              <w:left w:val="single" w:sz="4" w:space="0" w:color="auto"/>
              <w:bottom w:val="single" w:sz="4" w:space="0" w:color="auto"/>
              <w:right w:val="single" w:sz="4" w:space="0" w:color="auto"/>
            </w:tcBorders>
          </w:tcPr>
          <w:p w14:paraId="359018FF" w14:textId="77777777" w:rsidR="00931587" w:rsidRPr="005669BE" w:rsidRDefault="00AF55DE" w:rsidP="00BE6BC7">
            <w:pPr>
              <w:pStyle w:val="NoSpacing"/>
              <w:rPr>
                <w:rFonts w:ascii="Arial" w:hAnsi="Arial" w:cs="Arial"/>
                <w:b/>
                <w:highlight w:val="yellow"/>
              </w:rPr>
            </w:pPr>
            <w:r>
              <w:rPr>
                <w:rFonts w:ascii="Arial" w:hAnsi="Arial" w:cs="Arial"/>
                <w:b/>
              </w:rPr>
              <w:t>2020/21</w:t>
            </w:r>
            <w:r w:rsidRPr="00FA30B2">
              <w:rPr>
                <w:rFonts w:ascii="Arial" w:hAnsi="Arial" w:cs="Arial"/>
                <w:b/>
              </w:rPr>
              <w:t xml:space="preserve"> Target</w:t>
            </w:r>
          </w:p>
        </w:tc>
      </w:tr>
      <w:bookmarkEnd w:id="1"/>
      <w:tr w:rsidR="00BB349C" w14:paraId="26FD854D" w14:textId="77777777" w:rsidTr="62385CB5">
        <w:trPr>
          <w:trHeight w:val="1562"/>
        </w:trPr>
        <w:tc>
          <w:tcPr>
            <w:tcW w:w="2370" w:type="dxa"/>
            <w:tcBorders>
              <w:top w:val="single" w:sz="4" w:space="0" w:color="auto"/>
              <w:left w:val="single" w:sz="4" w:space="0" w:color="auto"/>
              <w:bottom w:val="single" w:sz="4" w:space="0" w:color="auto"/>
              <w:right w:val="single" w:sz="4" w:space="0" w:color="auto"/>
            </w:tcBorders>
          </w:tcPr>
          <w:p w14:paraId="68E6C1FD" w14:textId="77777777" w:rsidR="00931587" w:rsidRPr="00AB547C" w:rsidRDefault="00AF55DE" w:rsidP="00BE6BC7">
            <w:pPr>
              <w:pStyle w:val="NoSpacing"/>
              <w:rPr>
                <w:rFonts w:ascii="Arial" w:hAnsi="Arial" w:cs="Arial"/>
              </w:rPr>
            </w:pPr>
            <w:r w:rsidRPr="00AB547C">
              <w:rPr>
                <w:rFonts w:ascii="Arial" w:hAnsi="Arial" w:cs="Arial"/>
              </w:rPr>
              <w:t>Number of visits to libraries (annual cumulative indicator)</w:t>
            </w:r>
          </w:p>
        </w:tc>
        <w:tc>
          <w:tcPr>
            <w:tcW w:w="1350" w:type="dxa"/>
            <w:tcBorders>
              <w:top w:val="single" w:sz="4" w:space="0" w:color="auto"/>
              <w:left w:val="single" w:sz="4" w:space="0" w:color="auto"/>
              <w:bottom w:val="single" w:sz="4" w:space="0" w:color="auto"/>
              <w:right w:val="single" w:sz="4" w:space="0" w:color="auto"/>
            </w:tcBorders>
          </w:tcPr>
          <w:p w14:paraId="77AD06CF" w14:textId="77777777" w:rsidR="00931587" w:rsidRPr="00AB547C" w:rsidRDefault="00AF55DE" w:rsidP="00BE6BC7">
            <w:pPr>
              <w:pStyle w:val="NoSpacing"/>
              <w:rPr>
                <w:rFonts w:ascii="Arial" w:hAnsi="Arial" w:cs="Arial"/>
              </w:rPr>
            </w:pPr>
            <w:r w:rsidRPr="00AB547C">
              <w:rPr>
                <w:rFonts w:ascii="Arial" w:hAnsi="Arial" w:cs="Arial"/>
              </w:rPr>
              <w:t>Quarterly</w:t>
            </w:r>
          </w:p>
        </w:tc>
        <w:tc>
          <w:tcPr>
            <w:tcW w:w="1410" w:type="dxa"/>
            <w:tcBorders>
              <w:top w:val="single" w:sz="4" w:space="0" w:color="auto"/>
              <w:left w:val="single" w:sz="4" w:space="0" w:color="auto"/>
              <w:bottom w:val="single" w:sz="4" w:space="0" w:color="auto"/>
              <w:right w:val="single" w:sz="4" w:space="0" w:color="auto"/>
            </w:tcBorders>
          </w:tcPr>
          <w:p w14:paraId="43EB35B9" w14:textId="77777777" w:rsidR="00931587" w:rsidRPr="00AB547C" w:rsidRDefault="00AF55DE" w:rsidP="00BE6BC7">
            <w:pPr>
              <w:pStyle w:val="NoSpacing"/>
              <w:rPr>
                <w:rFonts w:ascii="Arial" w:hAnsi="Arial" w:cs="Arial"/>
              </w:rPr>
            </w:pPr>
            <w:r w:rsidRPr="00AB547C">
              <w:rPr>
                <w:rFonts w:ascii="Arial" w:hAnsi="Arial" w:cs="Arial"/>
              </w:rPr>
              <w:t>Education and Children's Services</w:t>
            </w:r>
          </w:p>
        </w:tc>
        <w:tc>
          <w:tcPr>
            <w:tcW w:w="1290" w:type="dxa"/>
            <w:tcBorders>
              <w:top w:val="single" w:sz="4" w:space="0" w:color="auto"/>
              <w:left w:val="single" w:sz="4" w:space="0" w:color="auto"/>
              <w:bottom w:val="single" w:sz="4" w:space="0" w:color="auto"/>
              <w:right w:val="single" w:sz="4" w:space="0" w:color="auto"/>
            </w:tcBorders>
          </w:tcPr>
          <w:p w14:paraId="3178E43B" w14:textId="77777777" w:rsidR="00931587" w:rsidRPr="00AB547C" w:rsidRDefault="00AF55DE" w:rsidP="00BE6BC7">
            <w:pPr>
              <w:pStyle w:val="NoSpacing"/>
              <w:rPr>
                <w:rFonts w:ascii="Arial" w:hAnsi="Arial" w:cs="Arial"/>
              </w:rPr>
            </w:pPr>
            <w:r w:rsidRPr="00AB547C">
              <w:rPr>
                <w:rFonts w:ascii="Arial" w:hAnsi="Arial" w:cs="Arial"/>
              </w:rPr>
              <w:t>High</w:t>
            </w:r>
          </w:p>
        </w:tc>
        <w:tc>
          <w:tcPr>
            <w:tcW w:w="129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5D8861A" w14:textId="77777777" w:rsidR="00931587" w:rsidRPr="00AB547C" w:rsidRDefault="00AF55DE" w:rsidP="00BE6BC7">
            <w:pPr>
              <w:pStyle w:val="NoSpacing"/>
              <w:jc w:val="center"/>
              <w:rPr>
                <w:rFonts w:ascii="Arial" w:hAnsi="Arial" w:cs="Arial"/>
              </w:rPr>
            </w:pPr>
            <w:r w:rsidRPr="00AB547C">
              <w:rPr>
                <w:rFonts w:ascii="Arial" w:hAnsi="Arial" w:cs="Arial"/>
              </w:rPr>
              <w:t>3,486,877 (2019/20)</w:t>
            </w:r>
          </w:p>
          <w:p w14:paraId="5E9D3EAD" w14:textId="77777777" w:rsidR="00931587" w:rsidRPr="00AB547C" w:rsidRDefault="00931587" w:rsidP="00BE6BC7">
            <w:pPr>
              <w:pStyle w:val="NoSpacing"/>
              <w:jc w:val="center"/>
              <w:rPr>
                <w:rFonts w:ascii="Arial" w:hAnsi="Arial" w:cs="Arial"/>
              </w:rPr>
            </w:pPr>
          </w:p>
          <w:p w14:paraId="517A6BA2" w14:textId="77777777" w:rsidR="00931587" w:rsidRPr="00AB547C" w:rsidRDefault="00931587" w:rsidP="00BE6BC7">
            <w:pPr>
              <w:pStyle w:val="NoSpacing"/>
              <w:jc w:val="center"/>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shd w:val="clear" w:color="auto" w:fill="FF0000"/>
          </w:tcPr>
          <w:p w14:paraId="56F9985F" w14:textId="0A461974" w:rsidR="246B9E84" w:rsidRPr="00F054E3" w:rsidRDefault="00AF55DE" w:rsidP="62385CB5">
            <w:pPr>
              <w:jc w:val="center"/>
              <w:rPr>
                <w:color w:val="FFFFFF" w:themeColor="background1"/>
              </w:rPr>
            </w:pPr>
            <w:r w:rsidRPr="00F054E3">
              <w:rPr>
                <w:color w:val="FFFFFF" w:themeColor="background1"/>
                <w:sz w:val="22"/>
                <w:szCs w:val="22"/>
              </w:rPr>
              <w:t>477,981</w:t>
            </w:r>
            <w:r w:rsidR="23711E54" w:rsidRPr="00F054E3">
              <w:rPr>
                <w:color w:val="FFFFFF" w:themeColor="background1"/>
                <w:sz w:val="22"/>
                <w:szCs w:val="22"/>
              </w:rPr>
              <w:t xml:space="preserve"> </w:t>
            </w:r>
            <w:r w:rsidR="7A39E558" w:rsidRPr="00F054E3">
              <w:rPr>
                <w:color w:val="FFFFFF" w:themeColor="background1"/>
                <w:sz w:val="22"/>
                <w:szCs w:val="22"/>
              </w:rPr>
              <w:t>(2020/21)</w:t>
            </w:r>
          </w:p>
          <w:p w14:paraId="65425B77" w14:textId="598FB4D3" w:rsidR="62385CB5" w:rsidRPr="00F054E3" w:rsidRDefault="62385CB5" w:rsidP="62385CB5">
            <w:pPr>
              <w:jc w:val="center"/>
              <w:rPr>
                <w:color w:val="FFFFFF" w:themeColor="background1"/>
              </w:rPr>
            </w:pPr>
          </w:p>
        </w:tc>
        <w:tc>
          <w:tcPr>
            <w:tcW w:w="1440" w:type="dxa"/>
            <w:tcBorders>
              <w:top w:val="single" w:sz="4" w:space="0" w:color="auto"/>
              <w:left w:val="single" w:sz="4" w:space="0" w:color="auto"/>
              <w:bottom w:val="single" w:sz="4" w:space="0" w:color="auto"/>
              <w:right w:val="single" w:sz="4" w:space="0" w:color="auto"/>
            </w:tcBorders>
            <w:shd w:val="clear" w:color="auto" w:fill="FF0000"/>
          </w:tcPr>
          <w:p w14:paraId="607FF832" w14:textId="77777777" w:rsidR="00931587" w:rsidRPr="00F054E3" w:rsidRDefault="00AF55DE" w:rsidP="62385CB5">
            <w:pPr>
              <w:jc w:val="center"/>
              <w:rPr>
                <w:color w:val="FFFFFF" w:themeColor="background1"/>
              </w:rPr>
            </w:pPr>
            <w:r w:rsidRPr="00F054E3">
              <w:rPr>
                <w:color w:val="FFFFFF" w:themeColor="background1"/>
              </w:rPr>
              <w:t>3,977</w:t>
            </w:r>
          </w:p>
        </w:tc>
        <w:tc>
          <w:tcPr>
            <w:tcW w:w="1485" w:type="dxa"/>
            <w:tcBorders>
              <w:top w:val="single" w:sz="4" w:space="0" w:color="auto"/>
              <w:left w:val="single" w:sz="4" w:space="0" w:color="auto"/>
              <w:bottom w:val="single" w:sz="4" w:space="0" w:color="auto"/>
              <w:right w:val="single" w:sz="4" w:space="0" w:color="auto"/>
            </w:tcBorders>
            <w:shd w:val="clear" w:color="auto" w:fill="FF0000"/>
          </w:tcPr>
          <w:p w14:paraId="32345EED" w14:textId="79C308A1" w:rsidR="14CA8B0C" w:rsidRPr="00F054E3" w:rsidRDefault="00AF55DE" w:rsidP="62385CB5">
            <w:pPr>
              <w:jc w:val="center"/>
              <w:rPr>
                <w:color w:val="FFFFFF" w:themeColor="background1"/>
              </w:rPr>
            </w:pPr>
            <w:r w:rsidRPr="00F054E3">
              <w:rPr>
                <w:color w:val="FFFFFF" w:themeColor="background1"/>
              </w:rPr>
              <w:t>265,139</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1B74FD21" w14:textId="5F0B7AD7" w:rsidR="00931587" w:rsidRPr="00AB547C" w:rsidRDefault="00AF55DE" w:rsidP="62385CB5">
            <w:pPr>
              <w:jc w:val="center"/>
              <w:rPr>
                <w:rFonts w:eastAsia="Arial" w:cs="Arial"/>
                <w:sz w:val="22"/>
                <w:szCs w:val="22"/>
              </w:rPr>
            </w:pPr>
            <w:r w:rsidRPr="62385CB5">
              <w:rPr>
                <w:rFonts w:eastAsia="Arial" w:cs="Arial"/>
                <w:sz w:val="22"/>
                <w:szCs w:val="22"/>
              </w:rPr>
              <w:t>4,000,000</w:t>
            </w:r>
          </w:p>
          <w:p w14:paraId="3880244E" w14:textId="61BEC06E" w:rsidR="00931587" w:rsidRPr="00AB547C" w:rsidRDefault="00AF55DE" w:rsidP="62385CB5">
            <w:pPr>
              <w:jc w:val="center"/>
              <w:rPr>
                <w:rFonts w:eastAsia="Arial" w:cs="Arial"/>
                <w:sz w:val="22"/>
                <w:szCs w:val="22"/>
              </w:rPr>
            </w:pPr>
            <w:r w:rsidRPr="62385CB5">
              <w:rPr>
                <w:rFonts w:eastAsia="Arial" w:cs="Arial"/>
                <w:sz w:val="22"/>
                <w:szCs w:val="22"/>
              </w:rPr>
              <w:t>(</w:t>
            </w:r>
            <w:r w:rsidR="50D0DCCA" w:rsidRPr="62385CB5">
              <w:rPr>
                <w:rFonts w:eastAsia="Arial" w:cs="Arial"/>
                <w:sz w:val="22"/>
                <w:szCs w:val="22"/>
              </w:rPr>
              <w:t>2021/2022 target being reviewed</w:t>
            </w:r>
            <w:r w:rsidR="05B50E5F" w:rsidRPr="62385CB5">
              <w:rPr>
                <w:rFonts w:eastAsia="Arial" w:cs="Arial"/>
                <w:sz w:val="22"/>
                <w:szCs w:val="22"/>
              </w:rPr>
              <w:t>)</w:t>
            </w:r>
            <w:r>
              <w:br/>
            </w:r>
          </w:p>
        </w:tc>
      </w:tr>
      <w:tr w:rsidR="00BB349C" w14:paraId="72DF903E" w14:textId="77777777" w:rsidTr="62385CB5">
        <w:trPr>
          <w:trHeight w:val="1072"/>
        </w:trPr>
        <w:tc>
          <w:tcPr>
            <w:tcW w:w="2370" w:type="dxa"/>
            <w:tcBorders>
              <w:top w:val="single" w:sz="4" w:space="0" w:color="auto"/>
              <w:left w:val="single" w:sz="4" w:space="0" w:color="auto"/>
              <w:bottom w:val="single" w:sz="4" w:space="0" w:color="auto"/>
              <w:right w:val="single" w:sz="4" w:space="0" w:color="auto"/>
            </w:tcBorders>
          </w:tcPr>
          <w:p w14:paraId="66EFA0F4" w14:textId="77777777" w:rsidR="00931587" w:rsidRPr="00AB547C" w:rsidRDefault="00AF55DE" w:rsidP="00BE6BC7">
            <w:pPr>
              <w:pStyle w:val="NoSpacing"/>
              <w:rPr>
                <w:rFonts w:ascii="Arial" w:hAnsi="Arial" w:cs="Arial"/>
              </w:rPr>
            </w:pPr>
            <w:r w:rsidRPr="00AB547C">
              <w:rPr>
                <w:rFonts w:ascii="Arial" w:hAnsi="Arial" w:cs="Arial"/>
              </w:rPr>
              <w:t>Number of PNET sessions (annual cumulative indicator)</w:t>
            </w:r>
          </w:p>
        </w:tc>
        <w:tc>
          <w:tcPr>
            <w:tcW w:w="1350" w:type="dxa"/>
            <w:tcBorders>
              <w:top w:val="single" w:sz="4" w:space="0" w:color="auto"/>
              <w:left w:val="single" w:sz="4" w:space="0" w:color="auto"/>
              <w:bottom w:val="single" w:sz="4" w:space="0" w:color="auto"/>
              <w:right w:val="single" w:sz="4" w:space="0" w:color="auto"/>
            </w:tcBorders>
          </w:tcPr>
          <w:p w14:paraId="11FEA382" w14:textId="77777777" w:rsidR="00931587" w:rsidRPr="00AB547C" w:rsidRDefault="00AF55DE" w:rsidP="00BE6BC7">
            <w:pPr>
              <w:pStyle w:val="NoSpacing"/>
              <w:rPr>
                <w:rFonts w:ascii="Arial" w:hAnsi="Arial" w:cs="Arial"/>
              </w:rPr>
            </w:pPr>
            <w:r w:rsidRPr="00AB547C">
              <w:rPr>
                <w:rFonts w:ascii="Arial" w:hAnsi="Arial" w:cs="Arial"/>
              </w:rPr>
              <w:t>Quarterly</w:t>
            </w:r>
          </w:p>
        </w:tc>
        <w:tc>
          <w:tcPr>
            <w:tcW w:w="1410" w:type="dxa"/>
            <w:tcBorders>
              <w:top w:val="single" w:sz="4" w:space="0" w:color="auto"/>
              <w:left w:val="single" w:sz="4" w:space="0" w:color="auto"/>
              <w:bottom w:val="single" w:sz="4" w:space="0" w:color="auto"/>
              <w:right w:val="single" w:sz="4" w:space="0" w:color="auto"/>
            </w:tcBorders>
          </w:tcPr>
          <w:p w14:paraId="70D37728" w14:textId="77777777" w:rsidR="00931587" w:rsidRPr="00AB547C" w:rsidRDefault="00AF55DE" w:rsidP="00BE6BC7">
            <w:pPr>
              <w:pStyle w:val="NoSpacing"/>
              <w:rPr>
                <w:rFonts w:ascii="Arial" w:hAnsi="Arial" w:cs="Arial"/>
              </w:rPr>
            </w:pPr>
            <w:r w:rsidRPr="00AB547C">
              <w:rPr>
                <w:rFonts w:ascii="Arial" w:hAnsi="Arial" w:cs="Arial"/>
              </w:rPr>
              <w:t>Education and Children's Services</w:t>
            </w:r>
          </w:p>
        </w:tc>
        <w:tc>
          <w:tcPr>
            <w:tcW w:w="1290" w:type="dxa"/>
            <w:tcBorders>
              <w:top w:val="single" w:sz="4" w:space="0" w:color="auto"/>
              <w:left w:val="single" w:sz="4" w:space="0" w:color="auto"/>
              <w:bottom w:val="single" w:sz="4" w:space="0" w:color="auto"/>
              <w:right w:val="single" w:sz="4" w:space="0" w:color="auto"/>
            </w:tcBorders>
          </w:tcPr>
          <w:p w14:paraId="7B8F3DED" w14:textId="77777777" w:rsidR="00931587" w:rsidRPr="00AB547C" w:rsidRDefault="00AF55DE" w:rsidP="00BE6BC7">
            <w:pPr>
              <w:pStyle w:val="NoSpacing"/>
              <w:rPr>
                <w:rFonts w:ascii="Arial" w:hAnsi="Arial" w:cs="Arial"/>
              </w:rPr>
            </w:pPr>
            <w:r w:rsidRPr="00AB547C">
              <w:rPr>
                <w:rFonts w:ascii="Arial" w:hAnsi="Arial" w:cs="Arial"/>
              </w:rPr>
              <w:t>High</w:t>
            </w:r>
          </w:p>
        </w:tc>
        <w:tc>
          <w:tcPr>
            <w:tcW w:w="129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147ABCD" w14:textId="77777777" w:rsidR="00931587" w:rsidRPr="00AB547C" w:rsidRDefault="00AF55DE" w:rsidP="00BE6BC7">
            <w:pPr>
              <w:pStyle w:val="NoSpacing"/>
              <w:jc w:val="center"/>
              <w:rPr>
                <w:rFonts w:ascii="Arial" w:hAnsi="Arial" w:cs="Arial"/>
              </w:rPr>
            </w:pPr>
            <w:r w:rsidRPr="00AB547C">
              <w:rPr>
                <w:rFonts w:ascii="Arial" w:hAnsi="Arial" w:cs="Arial"/>
              </w:rPr>
              <w:t>504,007 (2019/20)</w:t>
            </w:r>
          </w:p>
          <w:p w14:paraId="7596B74E" w14:textId="77777777" w:rsidR="00931587" w:rsidRPr="00AB547C" w:rsidRDefault="00931587" w:rsidP="00BE6BC7">
            <w:pPr>
              <w:pStyle w:val="NoSpacing"/>
              <w:jc w:val="center"/>
              <w:rPr>
                <w:rFonts w:ascii="Arial" w:hAnsi="Arial" w:cs="Arial"/>
              </w:rPr>
            </w:pPr>
          </w:p>
          <w:p w14:paraId="32031164" w14:textId="77777777" w:rsidR="00931587" w:rsidRPr="00AB547C" w:rsidRDefault="00931587" w:rsidP="00BE6BC7">
            <w:pPr>
              <w:pStyle w:val="NoSpacing"/>
              <w:jc w:val="center"/>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shd w:val="clear" w:color="auto" w:fill="FF0000"/>
          </w:tcPr>
          <w:p w14:paraId="5239E5A6" w14:textId="3E4B3748" w:rsidR="4D0BADF1" w:rsidRPr="00F054E3" w:rsidRDefault="00AF55DE" w:rsidP="62385CB5">
            <w:pPr>
              <w:pStyle w:val="NoSpacing"/>
              <w:jc w:val="center"/>
              <w:rPr>
                <w:color w:val="FFFFFF" w:themeColor="background1"/>
              </w:rPr>
            </w:pPr>
            <w:r w:rsidRPr="00F054E3">
              <w:rPr>
                <w:rFonts w:ascii="Arial" w:eastAsia="Arial" w:hAnsi="Arial" w:cs="Arial"/>
                <w:color w:val="FFFFFF" w:themeColor="background1"/>
              </w:rPr>
              <w:t>55,646</w:t>
            </w:r>
            <w:r w:rsidR="034AF268" w:rsidRPr="00F054E3">
              <w:rPr>
                <w:rFonts w:ascii="Arial" w:eastAsia="Arial" w:hAnsi="Arial" w:cs="Arial"/>
                <w:color w:val="FFFFFF" w:themeColor="background1"/>
              </w:rPr>
              <w:t xml:space="preserve"> </w:t>
            </w:r>
            <w:r w:rsidR="69F52C36" w:rsidRPr="00F054E3">
              <w:rPr>
                <w:rFonts w:ascii="Arial" w:eastAsia="Arial" w:hAnsi="Arial" w:cs="Arial"/>
                <w:color w:val="FFFFFF" w:themeColor="background1"/>
              </w:rPr>
              <w:t>(2020/21)</w:t>
            </w:r>
          </w:p>
        </w:tc>
        <w:tc>
          <w:tcPr>
            <w:tcW w:w="1440" w:type="dxa"/>
            <w:tcBorders>
              <w:top w:val="single" w:sz="4" w:space="0" w:color="auto"/>
              <w:left w:val="single" w:sz="4" w:space="0" w:color="auto"/>
              <w:bottom w:val="single" w:sz="4" w:space="0" w:color="auto"/>
              <w:right w:val="single" w:sz="4" w:space="0" w:color="auto"/>
            </w:tcBorders>
            <w:shd w:val="clear" w:color="auto" w:fill="FF0000"/>
          </w:tcPr>
          <w:p w14:paraId="3ABEEC17" w14:textId="77777777" w:rsidR="00931587" w:rsidRPr="00F054E3" w:rsidRDefault="00AF55DE" w:rsidP="62385CB5">
            <w:pPr>
              <w:jc w:val="center"/>
              <w:rPr>
                <w:color w:val="FFFFFF" w:themeColor="background1"/>
              </w:rPr>
            </w:pPr>
            <w:r w:rsidRPr="00F054E3">
              <w:rPr>
                <w:color w:val="FFFFFF" w:themeColor="background1"/>
              </w:rPr>
              <w:t>3,536</w:t>
            </w:r>
          </w:p>
        </w:tc>
        <w:tc>
          <w:tcPr>
            <w:tcW w:w="1485" w:type="dxa"/>
            <w:tcBorders>
              <w:top w:val="single" w:sz="4" w:space="0" w:color="auto"/>
              <w:left w:val="single" w:sz="4" w:space="0" w:color="auto"/>
              <w:bottom w:val="single" w:sz="4" w:space="0" w:color="auto"/>
              <w:right w:val="single" w:sz="4" w:space="0" w:color="auto"/>
            </w:tcBorders>
            <w:shd w:val="clear" w:color="auto" w:fill="FF0000"/>
          </w:tcPr>
          <w:p w14:paraId="7C185F39" w14:textId="20D5E831" w:rsidR="3A775869" w:rsidRPr="00F054E3" w:rsidRDefault="00AF55DE" w:rsidP="62385CB5">
            <w:pPr>
              <w:pStyle w:val="NoSpacing"/>
              <w:jc w:val="center"/>
              <w:rPr>
                <w:rFonts w:ascii="Arial" w:eastAsia="Arial" w:hAnsi="Arial" w:cs="Arial"/>
                <w:color w:val="FFFFFF" w:themeColor="background1"/>
              </w:rPr>
            </w:pPr>
            <w:r w:rsidRPr="00F054E3">
              <w:rPr>
                <w:rFonts w:ascii="Arial" w:eastAsia="Arial" w:hAnsi="Arial" w:cs="Arial"/>
                <w:color w:val="FFFFFF" w:themeColor="background1"/>
              </w:rPr>
              <w:t>28,639</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79E91427" w14:textId="77777777" w:rsidR="00931587" w:rsidRPr="00AB547C" w:rsidRDefault="00AF55DE" w:rsidP="62385CB5">
            <w:pPr>
              <w:pStyle w:val="NoSpacing"/>
              <w:jc w:val="center"/>
            </w:pPr>
            <w:r w:rsidRPr="62385CB5">
              <w:rPr>
                <w:rFonts w:ascii="Arial" w:eastAsia="Arial" w:hAnsi="Arial" w:cs="Arial"/>
              </w:rPr>
              <w:t>621,000</w:t>
            </w:r>
            <w:r>
              <w:br/>
            </w:r>
          </w:p>
          <w:p w14:paraId="7DB70FA1" w14:textId="0013E18D" w:rsidR="00931587" w:rsidRPr="00AB547C" w:rsidRDefault="00AF55DE" w:rsidP="62385CB5">
            <w:pPr>
              <w:pStyle w:val="NoSpacing"/>
              <w:jc w:val="center"/>
              <w:rPr>
                <w:rFonts w:ascii="Arial" w:eastAsia="Arial" w:hAnsi="Arial" w:cs="Arial"/>
              </w:rPr>
            </w:pPr>
            <w:r w:rsidRPr="62385CB5">
              <w:rPr>
                <w:rFonts w:ascii="Arial" w:eastAsia="Arial" w:hAnsi="Arial" w:cs="Arial"/>
              </w:rPr>
              <w:t>(</w:t>
            </w:r>
            <w:r w:rsidR="2FA2FCB8" w:rsidRPr="62385CB5">
              <w:rPr>
                <w:rFonts w:ascii="Arial" w:eastAsia="Arial" w:hAnsi="Arial" w:cs="Arial"/>
              </w:rPr>
              <w:t>2021/2022 target being reviewed</w:t>
            </w:r>
            <w:r w:rsidR="5843EBA7" w:rsidRPr="62385CB5">
              <w:rPr>
                <w:rFonts w:ascii="Arial" w:eastAsia="Arial" w:hAnsi="Arial" w:cs="Arial"/>
              </w:rPr>
              <w:t>)</w:t>
            </w:r>
            <w:r>
              <w:br/>
            </w:r>
          </w:p>
        </w:tc>
      </w:tr>
      <w:tr w:rsidR="00BB349C" w14:paraId="7EA6A7E1" w14:textId="77777777" w:rsidTr="62385CB5">
        <w:trPr>
          <w:trHeight w:val="1072"/>
        </w:trPr>
        <w:tc>
          <w:tcPr>
            <w:tcW w:w="2370" w:type="dxa"/>
            <w:tcBorders>
              <w:top w:val="single" w:sz="4" w:space="0" w:color="auto"/>
              <w:left w:val="single" w:sz="4" w:space="0" w:color="auto"/>
              <w:bottom w:val="single" w:sz="4" w:space="0" w:color="auto"/>
              <w:right w:val="single" w:sz="4" w:space="0" w:color="auto"/>
            </w:tcBorders>
          </w:tcPr>
          <w:p w14:paraId="05AD8500" w14:textId="4A824AA4" w:rsidR="00931587" w:rsidRPr="00AB547C" w:rsidRDefault="00AF55DE" w:rsidP="00BE6BC7">
            <w:pPr>
              <w:pStyle w:val="NoSpacing"/>
              <w:rPr>
                <w:rFonts w:ascii="Arial" w:hAnsi="Arial" w:cs="Arial"/>
              </w:rPr>
            </w:pPr>
            <w:bookmarkStart w:id="2" w:name="_Hlk74313746"/>
            <w:r w:rsidRPr="00AB547C">
              <w:rPr>
                <w:rFonts w:ascii="Arial" w:hAnsi="Arial" w:cs="Arial"/>
              </w:rPr>
              <w:t xml:space="preserve">Number of </w:t>
            </w:r>
            <w:r w:rsidRPr="00AB547C">
              <w:rPr>
                <w:rFonts w:ascii="Arial" w:hAnsi="Arial" w:cs="Arial"/>
              </w:rPr>
              <w:t>library events organised (annual cumulative indicator)</w:t>
            </w:r>
          </w:p>
        </w:tc>
        <w:tc>
          <w:tcPr>
            <w:tcW w:w="1350" w:type="dxa"/>
            <w:tcBorders>
              <w:top w:val="single" w:sz="4" w:space="0" w:color="auto"/>
              <w:left w:val="single" w:sz="4" w:space="0" w:color="auto"/>
              <w:bottom w:val="single" w:sz="4" w:space="0" w:color="auto"/>
              <w:right w:val="single" w:sz="4" w:space="0" w:color="auto"/>
            </w:tcBorders>
          </w:tcPr>
          <w:p w14:paraId="6CD408D2" w14:textId="77777777" w:rsidR="00931587" w:rsidRPr="00AB547C" w:rsidRDefault="00AF55DE" w:rsidP="00BE6BC7">
            <w:pPr>
              <w:pStyle w:val="NoSpacing"/>
              <w:rPr>
                <w:rFonts w:ascii="Arial" w:hAnsi="Arial" w:cs="Arial"/>
              </w:rPr>
            </w:pPr>
            <w:r w:rsidRPr="00AB547C">
              <w:rPr>
                <w:rFonts w:ascii="Arial" w:hAnsi="Arial" w:cs="Arial"/>
              </w:rPr>
              <w:t>Quarterly</w:t>
            </w:r>
          </w:p>
        </w:tc>
        <w:tc>
          <w:tcPr>
            <w:tcW w:w="1410" w:type="dxa"/>
            <w:tcBorders>
              <w:top w:val="single" w:sz="4" w:space="0" w:color="auto"/>
              <w:left w:val="single" w:sz="4" w:space="0" w:color="auto"/>
              <w:bottom w:val="single" w:sz="4" w:space="0" w:color="auto"/>
              <w:right w:val="single" w:sz="4" w:space="0" w:color="auto"/>
            </w:tcBorders>
          </w:tcPr>
          <w:p w14:paraId="1D63467E" w14:textId="77777777" w:rsidR="00931587" w:rsidRPr="00AB547C" w:rsidRDefault="00AF55DE" w:rsidP="00BE6BC7">
            <w:pPr>
              <w:pStyle w:val="NoSpacing"/>
              <w:rPr>
                <w:rFonts w:ascii="Arial" w:hAnsi="Arial" w:cs="Arial"/>
              </w:rPr>
            </w:pPr>
            <w:r w:rsidRPr="00AB547C">
              <w:rPr>
                <w:rFonts w:ascii="Arial" w:hAnsi="Arial" w:cs="Arial"/>
              </w:rPr>
              <w:t xml:space="preserve">Education and Children's Services </w:t>
            </w:r>
          </w:p>
        </w:tc>
        <w:tc>
          <w:tcPr>
            <w:tcW w:w="1290" w:type="dxa"/>
            <w:tcBorders>
              <w:top w:val="single" w:sz="4" w:space="0" w:color="auto"/>
              <w:left w:val="single" w:sz="4" w:space="0" w:color="auto"/>
              <w:bottom w:val="single" w:sz="4" w:space="0" w:color="auto"/>
              <w:right w:val="single" w:sz="4" w:space="0" w:color="auto"/>
            </w:tcBorders>
          </w:tcPr>
          <w:p w14:paraId="04942053" w14:textId="77777777" w:rsidR="00931587" w:rsidRPr="00AB547C" w:rsidRDefault="00AF55DE" w:rsidP="00BE6BC7">
            <w:pPr>
              <w:pStyle w:val="NoSpacing"/>
              <w:rPr>
                <w:rFonts w:ascii="Arial" w:hAnsi="Arial" w:cs="Arial"/>
              </w:rPr>
            </w:pPr>
            <w:r w:rsidRPr="00AB547C">
              <w:rPr>
                <w:rFonts w:ascii="Arial" w:hAnsi="Arial" w:cs="Arial"/>
              </w:rPr>
              <w:t>High</w:t>
            </w:r>
          </w:p>
        </w:tc>
        <w:tc>
          <w:tcPr>
            <w:tcW w:w="129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1A8CDBE" w14:textId="77777777" w:rsidR="00931587" w:rsidRPr="00AB547C" w:rsidRDefault="00AF55DE" w:rsidP="00BE6BC7">
            <w:pPr>
              <w:pStyle w:val="NoSpacing"/>
              <w:jc w:val="center"/>
              <w:rPr>
                <w:rFonts w:ascii="Arial" w:hAnsi="Arial" w:cs="Arial"/>
              </w:rPr>
            </w:pPr>
            <w:r w:rsidRPr="00D34F94">
              <w:rPr>
                <w:rFonts w:ascii="Arial" w:hAnsi="Arial" w:cs="Arial"/>
              </w:rPr>
              <w:t xml:space="preserve">11,718 </w:t>
            </w:r>
            <w:r w:rsidRPr="00AB547C">
              <w:rPr>
                <w:rFonts w:ascii="Arial" w:hAnsi="Arial" w:cs="Arial"/>
              </w:rPr>
              <w:t>(2019/20)</w:t>
            </w:r>
          </w:p>
          <w:p w14:paraId="03E9D7B5" w14:textId="77777777" w:rsidR="00931587" w:rsidRPr="00AB547C" w:rsidRDefault="00931587" w:rsidP="00BE6BC7">
            <w:pPr>
              <w:pStyle w:val="NoSpacing"/>
              <w:jc w:val="center"/>
              <w:rPr>
                <w:rFonts w:ascii="Arial" w:hAnsi="Arial" w:cs="Arial"/>
              </w:rPr>
            </w:pPr>
          </w:p>
          <w:p w14:paraId="3D04DA86" w14:textId="77777777" w:rsidR="00931587" w:rsidRPr="00AB547C" w:rsidRDefault="00931587" w:rsidP="00BE6BC7">
            <w:pPr>
              <w:pStyle w:val="NoSpacing"/>
              <w:jc w:val="center"/>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shd w:val="clear" w:color="auto" w:fill="FF0000"/>
          </w:tcPr>
          <w:p w14:paraId="74F4B965" w14:textId="3CE619FE" w:rsidR="4916C134" w:rsidRPr="00F054E3" w:rsidRDefault="00AF55DE" w:rsidP="62385CB5">
            <w:pPr>
              <w:pStyle w:val="NoSpacing"/>
              <w:jc w:val="center"/>
              <w:rPr>
                <w:color w:val="FFFFFF" w:themeColor="background1"/>
              </w:rPr>
            </w:pPr>
            <w:r w:rsidRPr="00F054E3">
              <w:rPr>
                <w:rFonts w:ascii="Arial" w:eastAsia="Arial" w:hAnsi="Arial" w:cs="Arial"/>
                <w:color w:val="FFFFFF" w:themeColor="background1"/>
              </w:rPr>
              <w:t>205</w:t>
            </w:r>
            <w:r w:rsidR="2D9C4DD3" w:rsidRPr="00F054E3">
              <w:rPr>
                <w:rFonts w:ascii="Arial" w:eastAsia="Arial" w:hAnsi="Arial" w:cs="Arial"/>
                <w:color w:val="FFFFFF" w:themeColor="background1"/>
              </w:rPr>
              <w:t xml:space="preserve"> </w:t>
            </w:r>
          </w:p>
          <w:p w14:paraId="7C0D80B8" w14:textId="3707EDCF" w:rsidR="2D9C4DD3" w:rsidRPr="00F054E3" w:rsidRDefault="00AF55DE" w:rsidP="62385CB5">
            <w:pPr>
              <w:pStyle w:val="NoSpacing"/>
              <w:jc w:val="center"/>
              <w:rPr>
                <w:color w:val="FFFFFF" w:themeColor="background1"/>
              </w:rPr>
            </w:pPr>
            <w:r w:rsidRPr="00F054E3">
              <w:rPr>
                <w:rFonts w:ascii="Arial" w:eastAsia="Arial" w:hAnsi="Arial" w:cs="Arial"/>
                <w:color w:val="FFFFFF" w:themeColor="background1"/>
              </w:rPr>
              <w:t>(2020/21)</w:t>
            </w:r>
          </w:p>
        </w:tc>
        <w:tc>
          <w:tcPr>
            <w:tcW w:w="1440" w:type="dxa"/>
            <w:tcBorders>
              <w:top w:val="single" w:sz="4" w:space="0" w:color="auto"/>
              <w:left w:val="single" w:sz="4" w:space="0" w:color="auto"/>
              <w:bottom w:val="single" w:sz="4" w:space="0" w:color="auto"/>
              <w:right w:val="single" w:sz="4" w:space="0" w:color="auto"/>
            </w:tcBorders>
            <w:shd w:val="clear" w:color="auto" w:fill="FF0000"/>
          </w:tcPr>
          <w:p w14:paraId="7E40211D" w14:textId="77777777" w:rsidR="00931587" w:rsidRPr="00F054E3" w:rsidRDefault="00AF55DE" w:rsidP="62385CB5">
            <w:pPr>
              <w:jc w:val="center"/>
              <w:rPr>
                <w:color w:val="FFFFFF" w:themeColor="background1"/>
              </w:rPr>
            </w:pPr>
            <w:r w:rsidRPr="00F054E3">
              <w:rPr>
                <w:color w:val="FFFFFF" w:themeColor="background1"/>
              </w:rPr>
              <w:t>0</w:t>
            </w:r>
          </w:p>
        </w:tc>
        <w:tc>
          <w:tcPr>
            <w:tcW w:w="1485" w:type="dxa"/>
            <w:tcBorders>
              <w:top w:val="single" w:sz="4" w:space="0" w:color="auto"/>
              <w:left w:val="single" w:sz="4" w:space="0" w:color="auto"/>
              <w:bottom w:val="single" w:sz="4" w:space="0" w:color="auto"/>
              <w:right w:val="single" w:sz="4" w:space="0" w:color="auto"/>
            </w:tcBorders>
            <w:shd w:val="clear" w:color="auto" w:fill="FF0000"/>
          </w:tcPr>
          <w:p w14:paraId="2BF68351" w14:textId="40BA5BF7" w:rsidR="483C75D0" w:rsidRPr="00F054E3" w:rsidRDefault="00AF55DE" w:rsidP="62385CB5">
            <w:pPr>
              <w:pStyle w:val="NoSpacing"/>
              <w:jc w:val="center"/>
              <w:rPr>
                <w:rFonts w:ascii="Arial" w:eastAsia="Arial" w:hAnsi="Arial" w:cs="Arial"/>
                <w:color w:val="FFFFFF" w:themeColor="background1"/>
              </w:rPr>
            </w:pPr>
            <w:r w:rsidRPr="00F054E3">
              <w:rPr>
                <w:rFonts w:ascii="Arial" w:eastAsia="Arial" w:hAnsi="Arial" w:cs="Arial"/>
                <w:color w:val="FFFFFF" w:themeColor="background1"/>
              </w:rPr>
              <w:t>48</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5C7ACCE2" w14:textId="77777777" w:rsidR="00931587" w:rsidRPr="00AB547C" w:rsidRDefault="00AF55DE" w:rsidP="62385CB5">
            <w:pPr>
              <w:pStyle w:val="NoSpacing"/>
              <w:jc w:val="center"/>
              <w:rPr>
                <w:rFonts w:ascii="Arial" w:eastAsia="Arial" w:hAnsi="Arial" w:cs="Arial"/>
              </w:rPr>
            </w:pPr>
            <w:r w:rsidRPr="62385CB5">
              <w:rPr>
                <w:rFonts w:ascii="Arial" w:eastAsia="Arial" w:hAnsi="Arial" w:cs="Arial"/>
              </w:rPr>
              <w:t>8,400</w:t>
            </w:r>
            <w:r>
              <w:br/>
            </w:r>
          </w:p>
          <w:p w14:paraId="6E12DDAE" w14:textId="155F79B2" w:rsidR="00931587" w:rsidRPr="00AB547C" w:rsidRDefault="00AF55DE" w:rsidP="62385CB5">
            <w:pPr>
              <w:pStyle w:val="NoSpacing"/>
              <w:jc w:val="center"/>
              <w:rPr>
                <w:rFonts w:ascii="Arial" w:eastAsia="Arial" w:hAnsi="Arial" w:cs="Arial"/>
              </w:rPr>
            </w:pPr>
            <w:r w:rsidRPr="62385CB5">
              <w:rPr>
                <w:rFonts w:ascii="Arial" w:eastAsia="Arial" w:hAnsi="Arial" w:cs="Arial"/>
              </w:rPr>
              <w:t>(</w:t>
            </w:r>
            <w:r w:rsidR="7695F8EE" w:rsidRPr="62385CB5">
              <w:rPr>
                <w:rFonts w:ascii="Arial" w:eastAsia="Arial" w:hAnsi="Arial" w:cs="Arial"/>
              </w:rPr>
              <w:t>2021/2022 target being reviewed</w:t>
            </w:r>
            <w:r w:rsidR="03A4B4BC" w:rsidRPr="62385CB5">
              <w:rPr>
                <w:rFonts w:ascii="Arial" w:eastAsia="Arial" w:hAnsi="Arial" w:cs="Arial"/>
              </w:rPr>
              <w:t>)</w:t>
            </w:r>
            <w:r>
              <w:br/>
            </w:r>
          </w:p>
          <w:p w14:paraId="64CF4569" w14:textId="77777777" w:rsidR="00931587" w:rsidRPr="00AB547C" w:rsidRDefault="00931587" w:rsidP="62385CB5">
            <w:pPr>
              <w:pStyle w:val="NoSpacing"/>
              <w:jc w:val="center"/>
              <w:rPr>
                <w:rFonts w:ascii="Arial" w:eastAsia="Arial" w:hAnsi="Arial" w:cs="Arial"/>
              </w:rPr>
            </w:pPr>
          </w:p>
        </w:tc>
      </w:tr>
      <w:bookmarkEnd w:id="2"/>
      <w:tr w:rsidR="00BB349C" w14:paraId="21299E2E" w14:textId="77777777" w:rsidTr="62385CB5">
        <w:trPr>
          <w:trHeight w:val="1528"/>
        </w:trPr>
        <w:tc>
          <w:tcPr>
            <w:tcW w:w="2370" w:type="dxa"/>
            <w:tcBorders>
              <w:top w:val="single" w:sz="4" w:space="0" w:color="auto"/>
              <w:left w:val="single" w:sz="4" w:space="0" w:color="auto"/>
              <w:bottom w:val="single" w:sz="4" w:space="0" w:color="auto"/>
              <w:right w:val="single" w:sz="4" w:space="0" w:color="auto"/>
            </w:tcBorders>
          </w:tcPr>
          <w:p w14:paraId="5A8361AA" w14:textId="3B4E4D1C" w:rsidR="00931587" w:rsidRPr="00AB547C" w:rsidRDefault="00AF55DE" w:rsidP="00BE6BC7">
            <w:pPr>
              <w:pStyle w:val="NoSpacing"/>
              <w:rPr>
                <w:rFonts w:ascii="Arial" w:hAnsi="Arial" w:cs="Arial"/>
              </w:rPr>
            </w:pPr>
            <w:r w:rsidRPr="00AB547C">
              <w:rPr>
                <w:rFonts w:ascii="Arial" w:hAnsi="Arial" w:cs="Arial"/>
              </w:rPr>
              <w:t>Number of e-downloads</w:t>
            </w:r>
            <w:r w:rsidR="00210C58">
              <w:rPr>
                <w:rFonts w:ascii="Arial" w:hAnsi="Arial" w:cs="Arial"/>
              </w:rPr>
              <w:t xml:space="preserve"> </w:t>
            </w:r>
            <w:r w:rsidRPr="00AB547C">
              <w:rPr>
                <w:rFonts w:ascii="Arial" w:hAnsi="Arial" w:cs="Arial"/>
              </w:rPr>
              <w:t>(annual cumulative indicator)</w:t>
            </w:r>
            <w:r w:rsidRPr="00AB547C">
              <w:rPr>
                <w:rFonts w:ascii="Arial" w:hAnsi="Arial" w:cs="Arial"/>
              </w:rPr>
              <w:br/>
            </w:r>
          </w:p>
        </w:tc>
        <w:tc>
          <w:tcPr>
            <w:tcW w:w="1350" w:type="dxa"/>
            <w:tcBorders>
              <w:top w:val="single" w:sz="4" w:space="0" w:color="auto"/>
              <w:left w:val="single" w:sz="4" w:space="0" w:color="auto"/>
              <w:bottom w:val="single" w:sz="4" w:space="0" w:color="auto"/>
              <w:right w:val="single" w:sz="4" w:space="0" w:color="auto"/>
            </w:tcBorders>
          </w:tcPr>
          <w:p w14:paraId="7D46AB91" w14:textId="77777777" w:rsidR="00931587" w:rsidRPr="00AB547C" w:rsidRDefault="00AF55DE" w:rsidP="00BE6BC7">
            <w:pPr>
              <w:pStyle w:val="NoSpacing"/>
              <w:rPr>
                <w:rFonts w:ascii="Arial" w:hAnsi="Arial" w:cs="Arial"/>
              </w:rPr>
            </w:pPr>
            <w:r w:rsidRPr="00AB547C">
              <w:rPr>
                <w:rFonts w:ascii="Arial" w:hAnsi="Arial" w:cs="Arial"/>
              </w:rPr>
              <w:t>Quarterly</w:t>
            </w:r>
          </w:p>
        </w:tc>
        <w:tc>
          <w:tcPr>
            <w:tcW w:w="1410" w:type="dxa"/>
            <w:tcBorders>
              <w:top w:val="single" w:sz="4" w:space="0" w:color="auto"/>
              <w:left w:val="single" w:sz="4" w:space="0" w:color="auto"/>
              <w:bottom w:val="single" w:sz="4" w:space="0" w:color="auto"/>
              <w:right w:val="single" w:sz="4" w:space="0" w:color="auto"/>
            </w:tcBorders>
          </w:tcPr>
          <w:p w14:paraId="1B30E0B3" w14:textId="77777777" w:rsidR="00931587" w:rsidRPr="00AB547C" w:rsidRDefault="00AF55DE" w:rsidP="00BE6BC7">
            <w:pPr>
              <w:pStyle w:val="NoSpacing"/>
              <w:rPr>
                <w:rFonts w:ascii="Arial" w:hAnsi="Arial" w:cs="Arial"/>
              </w:rPr>
            </w:pPr>
            <w:r w:rsidRPr="00AB547C">
              <w:rPr>
                <w:rFonts w:ascii="Arial" w:hAnsi="Arial" w:cs="Arial"/>
              </w:rPr>
              <w:t xml:space="preserve">Education and Children's Services </w:t>
            </w:r>
          </w:p>
        </w:tc>
        <w:tc>
          <w:tcPr>
            <w:tcW w:w="1290" w:type="dxa"/>
            <w:tcBorders>
              <w:top w:val="single" w:sz="4" w:space="0" w:color="auto"/>
              <w:left w:val="single" w:sz="4" w:space="0" w:color="auto"/>
              <w:bottom w:val="single" w:sz="4" w:space="0" w:color="auto"/>
              <w:right w:val="single" w:sz="4" w:space="0" w:color="auto"/>
            </w:tcBorders>
          </w:tcPr>
          <w:p w14:paraId="3D28F2CB" w14:textId="77777777" w:rsidR="00931587" w:rsidRPr="00AB547C" w:rsidRDefault="00AF55DE" w:rsidP="00BE6BC7">
            <w:pPr>
              <w:pStyle w:val="NoSpacing"/>
              <w:rPr>
                <w:rFonts w:ascii="Arial" w:hAnsi="Arial" w:cs="Arial"/>
              </w:rPr>
            </w:pPr>
            <w:r w:rsidRPr="00AB547C">
              <w:rPr>
                <w:rFonts w:ascii="Arial" w:hAnsi="Arial" w:cs="Arial"/>
              </w:rPr>
              <w:t>High</w:t>
            </w:r>
          </w:p>
        </w:tc>
        <w:tc>
          <w:tcPr>
            <w:tcW w:w="129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6F71F53" w14:textId="77777777" w:rsidR="00931587" w:rsidRPr="00AB547C" w:rsidRDefault="00AF55DE" w:rsidP="00BE6BC7">
            <w:pPr>
              <w:pStyle w:val="NoSpacing"/>
              <w:jc w:val="center"/>
              <w:rPr>
                <w:rFonts w:ascii="Arial" w:hAnsi="Arial" w:cs="Arial"/>
              </w:rPr>
            </w:pPr>
            <w:r w:rsidRPr="00AB547C">
              <w:rPr>
                <w:rFonts w:ascii="Arial" w:hAnsi="Arial" w:cs="Arial"/>
              </w:rPr>
              <w:t>353,007 (2019/20)</w:t>
            </w:r>
          </w:p>
        </w:tc>
        <w:tc>
          <w:tcPr>
            <w:tcW w:w="135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4A0804E" w14:textId="0EDCB58B" w:rsidR="5C89C702" w:rsidRDefault="00AF55DE" w:rsidP="62385CB5">
            <w:pPr>
              <w:jc w:val="center"/>
              <w:rPr>
                <w:rFonts w:eastAsia="Arial" w:cs="Arial"/>
                <w:color w:val="000000" w:themeColor="text1"/>
                <w:sz w:val="22"/>
                <w:szCs w:val="22"/>
              </w:rPr>
            </w:pPr>
            <w:r w:rsidRPr="62385CB5">
              <w:rPr>
                <w:rFonts w:eastAsia="Arial" w:cs="Arial"/>
                <w:color w:val="000000" w:themeColor="text1"/>
                <w:sz w:val="22"/>
                <w:szCs w:val="22"/>
              </w:rPr>
              <w:t>930</w:t>
            </w:r>
            <w:r w:rsidR="06505D6C" w:rsidRPr="62385CB5">
              <w:rPr>
                <w:rFonts w:eastAsia="Arial" w:cs="Arial"/>
                <w:color w:val="000000" w:themeColor="text1"/>
                <w:sz w:val="22"/>
                <w:szCs w:val="22"/>
              </w:rPr>
              <w:t>,</w:t>
            </w:r>
            <w:r w:rsidR="58F535EB" w:rsidRPr="62385CB5">
              <w:rPr>
                <w:rFonts w:eastAsia="Arial" w:cs="Arial"/>
                <w:color w:val="000000" w:themeColor="text1"/>
                <w:sz w:val="22"/>
                <w:szCs w:val="22"/>
              </w:rPr>
              <w:t>301</w:t>
            </w:r>
            <w:r w:rsidR="3A7FDFBF" w:rsidRPr="62385CB5">
              <w:rPr>
                <w:rFonts w:eastAsia="Arial" w:cs="Arial"/>
                <w:color w:val="000000" w:themeColor="text1"/>
                <w:sz w:val="22"/>
                <w:szCs w:val="22"/>
              </w:rPr>
              <w:t xml:space="preserve"> </w:t>
            </w:r>
            <w:r w:rsidR="40361FA0" w:rsidRPr="62385CB5">
              <w:rPr>
                <w:rFonts w:eastAsia="Arial" w:cs="Arial"/>
                <w:color w:val="000000" w:themeColor="text1"/>
                <w:sz w:val="22"/>
                <w:szCs w:val="22"/>
              </w:rPr>
              <w:t>(2020/21)</w:t>
            </w:r>
          </w:p>
        </w:tc>
        <w:tc>
          <w:tcPr>
            <w:tcW w:w="144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1799B3B" w14:textId="77777777" w:rsidR="00931587" w:rsidRPr="00AB547C" w:rsidRDefault="00AF55DE" w:rsidP="62385CB5">
            <w:pPr>
              <w:jc w:val="center"/>
            </w:pPr>
            <w:r>
              <w:t>187,270</w:t>
            </w:r>
          </w:p>
        </w:tc>
        <w:tc>
          <w:tcPr>
            <w:tcW w:w="148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5F61D5F" w14:textId="31125FAB" w:rsidR="16E6A79E" w:rsidRDefault="00AF55DE" w:rsidP="62385CB5">
            <w:pPr>
              <w:pStyle w:val="NoSpacing"/>
              <w:jc w:val="center"/>
              <w:rPr>
                <w:rFonts w:ascii="Arial" w:eastAsia="Arial" w:hAnsi="Arial" w:cs="Arial"/>
              </w:rPr>
            </w:pPr>
            <w:r w:rsidRPr="62385CB5">
              <w:rPr>
                <w:rFonts w:ascii="Arial" w:eastAsia="Arial" w:hAnsi="Arial" w:cs="Arial"/>
              </w:rPr>
              <w:t>242,993</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466A7453" w14:textId="77777777" w:rsidR="00931587" w:rsidRPr="00AB547C" w:rsidRDefault="00AF55DE" w:rsidP="62385CB5">
            <w:pPr>
              <w:pStyle w:val="NoSpacing"/>
              <w:jc w:val="center"/>
              <w:rPr>
                <w:rFonts w:ascii="Arial" w:eastAsia="Arial" w:hAnsi="Arial" w:cs="Arial"/>
              </w:rPr>
            </w:pPr>
            <w:r w:rsidRPr="62385CB5">
              <w:rPr>
                <w:rFonts w:ascii="Arial" w:eastAsia="Arial" w:hAnsi="Arial" w:cs="Arial"/>
              </w:rPr>
              <w:t>293,908</w:t>
            </w:r>
          </w:p>
          <w:p w14:paraId="0C131082" w14:textId="55EF5F9E" w:rsidR="00931587" w:rsidRPr="00AB547C" w:rsidRDefault="00931587" w:rsidP="62385CB5">
            <w:pPr>
              <w:pStyle w:val="NoSpacing"/>
              <w:jc w:val="center"/>
            </w:pPr>
          </w:p>
          <w:p w14:paraId="7CFD6C1D" w14:textId="00F2A29B" w:rsidR="00931587" w:rsidRPr="00AB547C" w:rsidRDefault="00AF55DE" w:rsidP="62385CB5">
            <w:pPr>
              <w:pStyle w:val="NoSpacing"/>
              <w:jc w:val="center"/>
              <w:rPr>
                <w:rFonts w:ascii="Arial" w:eastAsia="Arial" w:hAnsi="Arial" w:cs="Arial"/>
              </w:rPr>
            </w:pPr>
            <w:r w:rsidRPr="62385CB5">
              <w:rPr>
                <w:rFonts w:ascii="Arial" w:eastAsia="Arial" w:hAnsi="Arial" w:cs="Arial"/>
              </w:rPr>
              <w:t>(</w:t>
            </w:r>
            <w:r w:rsidR="5F976A18" w:rsidRPr="62385CB5">
              <w:rPr>
                <w:rFonts w:ascii="Arial" w:eastAsia="Arial" w:hAnsi="Arial" w:cs="Arial"/>
              </w:rPr>
              <w:t>2021/2022 target being reviewed</w:t>
            </w:r>
            <w:r w:rsidR="6C48CCD0" w:rsidRPr="62385CB5">
              <w:rPr>
                <w:rFonts w:ascii="Arial" w:eastAsia="Arial" w:hAnsi="Arial" w:cs="Arial"/>
              </w:rPr>
              <w:t>)</w:t>
            </w:r>
            <w:r>
              <w:br/>
            </w:r>
          </w:p>
        </w:tc>
      </w:tr>
      <w:tr w:rsidR="00BB349C" w14:paraId="4C805CBD" w14:textId="77777777" w:rsidTr="62385CB5">
        <w:trPr>
          <w:trHeight w:val="1437"/>
        </w:trPr>
        <w:tc>
          <w:tcPr>
            <w:tcW w:w="2370" w:type="dxa"/>
            <w:tcBorders>
              <w:top w:val="single" w:sz="4" w:space="0" w:color="auto"/>
              <w:left w:val="single" w:sz="4" w:space="0" w:color="auto"/>
              <w:bottom w:val="single" w:sz="4" w:space="0" w:color="auto"/>
              <w:right w:val="single" w:sz="4" w:space="0" w:color="auto"/>
            </w:tcBorders>
          </w:tcPr>
          <w:p w14:paraId="54A6181C" w14:textId="7AF1F381" w:rsidR="00931587" w:rsidRPr="00AB547C" w:rsidRDefault="00AF55DE" w:rsidP="00BE6BC7">
            <w:pPr>
              <w:pStyle w:val="NoSpacing"/>
              <w:rPr>
                <w:rFonts w:ascii="Arial" w:hAnsi="Arial" w:cs="Arial"/>
              </w:rPr>
            </w:pPr>
            <w:r w:rsidRPr="62385CB5">
              <w:rPr>
                <w:rFonts w:ascii="Arial" w:hAnsi="Arial" w:cs="Arial"/>
              </w:rPr>
              <w:t xml:space="preserve">Number of volunteers in Libraries </w:t>
            </w:r>
          </w:p>
        </w:tc>
        <w:tc>
          <w:tcPr>
            <w:tcW w:w="1350" w:type="dxa"/>
            <w:tcBorders>
              <w:top w:val="single" w:sz="4" w:space="0" w:color="auto"/>
              <w:left w:val="single" w:sz="4" w:space="0" w:color="auto"/>
              <w:bottom w:val="single" w:sz="4" w:space="0" w:color="auto"/>
              <w:right w:val="single" w:sz="4" w:space="0" w:color="auto"/>
            </w:tcBorders>
          </w:tcPr>
          <w:p w14:paraId="02F7DC5E" w14:textId="77777777" w:rsidR="00931587" w:rsidRPr="00AB547C" w:rsidRDefault="00AF55DE" w:rsidP="00BE6BC7">
            <w:pPr>
              <w:pStyle w:val="NoSpacing"/>
              <w:rPr>
                <w:rFonts w:ascii="Arial" w:hAnsi="Arial" w:cs="Arial"/>
              </w:rPr>
            </w:pPr>
            <w:r w:rsidRPr="00AB547C">
              <w:rPr>
                <w:rFonts w:ascii="Arial" w:hAnsi="Arial" w:cs="Arial"/>
              </w:rPr>
              <w:t>Quarterly</w:t>
            </w:r>
          </w:p>
        </w:tc>
        <w:tc>
          <w:tcPr>
            <w:tcW w:w="1410" w:type="dxa"/>
            <w:tcBorders>
              <w:top w:val="single" w:sz="4" w:space="0" w:color="auto"/>
              <w:left w:val="single" w:sz="4" w:space="0" w:color="auto"/>
              <w:bottom w:val="single" w:sz="4" w:space="0" w:color="auto"/>
              <w:right w:val="single" w:sz="4" w:space="0" w:color="auto"/>
            </w:tcBorders>
          </w:tcPr>
          <w:p w14:paraId="79CDAEBA" w14:textId="77777777" w:rsidR="00931587" w:rsidRPr="00AB547C" w:rsidRDefault="00AF55DE" w:rsidP="00BE6BC7">
            <w:pPr>
              <w:pStyle w:val="NoSpacing"/>
              <w:rPr>
                <w:rFonts w:ascii="Arial" w:hAnsi="Arial" w:cs="Arial"/>
              </w:rPr>
            </w:pPr>
            <w:r w:rsidRPr="00AB547C">
              <w:rPr>
                <w:rFonts w:ascii="Arial" w:hAnsi="Arial" w:cs="Arial"/>
              </w:rPr>
              <w:t xml:space="preserve">Education and </w:t>
            </w:r>
            <w:r>
              <w:rPr>
                <w:rFonts w:ascii="Arial" w:hAnsi="Arial" w:cs="Arial"/>
              </w:rPr>
              <w:t>C</w:t>
            </w:r>
            <w:r w:rsidRPr="00AB547C">
              <w:rPr>
                <w:rFonts w:ascii="Arial" w:hAnsi="Arial" w:cs="Arial"/>
              </w:rPr>
              <w:t>hildren's Services</w:t>
            </w:r>
          </w:p>
        </w:tc>
        <w:tc>
          <w:tcPr>
            <w:tcW w:w="1290" w:type="dxa"/>
            <w:tcBorders>
              <w:top w:val="single" w:sz="4" w:space="0" w:color="auto"/>
              <w:left w:val="single" w:sz="4" w:space="0" w:color="auto"/>
              <w:bottom w:val="single" w:sz="4" w:space="0" w:color="auto"/>
              <w:right w:val="single" w:sz="4" w:space="0" w:color="auto"/>
            </w:tcBorders>
          </w:tcPr>
          <w:p w14:paraId="62B518B2" w14:textId="77777777" w:rsidR="00931587" w:rsidRPr="00AB547C" w:rsidRDefault="00AF55DE" w:rsidP="00BE6BC7">
            <w:pPr>
              <w:pStyle w:val="NoSpacing"/>
              <w:rPr>
                <w:rFonts w:ascii="Arial" w:hAnsi="Arial" w:cs="Arial"/>
              </w:rPr>
            </w:pPr>
            <w:r w:rsidRPr="00AB547C">
              <w:rPr>
                <w:rFonts w:ascii="Arial" w:hAnsi="Arial" w:cs="Arial"/>
              </w:rPr>
              <w:t>High</w:t>
            </w:r>
          </w:p>
        </w:tc>
        <w:tc>
          <w:tcPr>
            <w:tcW w:w="129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88150A2" w14:textId="77777777" w:rsidR="00931587" w:rsidRPr="00AB547C" w:rsidRDefault="00AF55DE" w:rsidP="00BE6BC7">
            <w:pPr>
              <w:pStyle w:val="NoSpacing"/>
              <w:jc w:val="center"/>
              <w:rPr>
                <w:rFonts w:ascii="Arial" w:hAnsi="Arial" w:cs="Arial"/>
              </w:rPr>
            </w:pPr>
            <w:r w:rsidRPr="00AB547C">
              <w:rPr>
                <w:rFonts w:ascii="Arial" w:hAnsi="Arial" w:cs="Arial"/>
              </w:rPr>
              <w:t>677 (2019/20)</w:t>
            </w:r>
          </w:p>
          <w:p w14:paraId="73FF4D3C" w14:textId="77777777" w:rsidR="00931587" w:rsidRPr="00AB547C" w:rsidRDefault="00931587" w:rsidP="00BE6BC7">
            <w:pPr>
              <w:pStyle w:val="NoSpacing"/>
              <w:jc w:val="center"/>
              <w:rPr>
                <w:rFonts w:ascii="Arial" w:hAnsi="Arial" w:cs="Arial"/>
              </w:rPr>
            </w:pPr>
          </w:p>
          <w:p w14:paraId="2442F6B4" w14:textId="77777777" w:rsidR="00931587" w:rsidRPr="00AB547C" w:rsidRDefault="00931587" w:rsidP="00BE6BC7">
            <w:pPr>
              <w:pStyle w:val="NoSpacing"/>
              <w:jc w:val="center"/>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shd w:val="clear" w:color="auto" w:fill="FF0000"/>
          </w:tcPr>
          <w:p w14:paraId="34B5BB60" w14:textId="42185A88" w:rsidR="3055F15B" w:rsidRPr="00F054E3" w:rsidRDefault="00AF55DE" w:rsidP="62385CB5">
            <w:pPr>
              <w:pStyle w:val="NoSpacing"/>
              <w:jc w:val="center"/>
              <w:rPr>
                <w:rFonts w:ascii="Arial" w:eastAsia="Arial" w:hAnsi="Arial" w:cs="Arial"/>
                <w:color w:val="FFFFFF" w:themeColor="background1"/>
              </w:rPr>
            </w:pPr>
            <w:r w:rsidRPr="00F054E3">
              <w:rPr>
                <w:rFonts w:ascii="Arial" w:eastAsia="Arial" w:hAnsi="Arial" w:cs="Arial"/>
                <w:color w:val="FFFFFF" w:themeColor="background1"/>
              </w:rPr>
              <w:t>167</w:t>
            </w:r>
          </w:p>
          <w:p w14:paraId="25FF7478" w14:textId="022733AD" w:rsidR="4FA549D5" w:rsidRPr="00F054E3" w:rsidRDefault="00AF55DE" w:rsidP="62385CB5">
            <w:pPr>
              <w:pStyle w:val="NoSpacing"/>
              <w:jc w:val="center"/>
              <w:rPr>
                <w:rFonts w:ascii="Arial" w:eastAsia="Arial" w:hAnsi="Arial" w:cs="Arial"/>
                <w:color w:val="FFFFFF" w:themeColor="background1"/>
              </w:rPr>
            </w:pPr>
            <w:r w:rsidRPr="00F054E3">
              <w:rPr>
                <w:rFonts w:ascii="Arial" w:eastAsia="Arial" w:hAnsi="Arial" w:cs="Arial"/>
                <w:color w:val="FFFFFF" w:themeColor="background1"/>
              </w:rPr>
              <w:t>(2020/21)</w:t>
            </w:r>
          </w:p>
        </w:tc>
        <w:tc>
          <w:tcPr>
            <w:tcW w:w="1440" w:type="dxa"/>
            <w:tcBorders>
              <w:top w:val="single" w:sz="4" w:space="0" w:color="auto"/>
              <w:left w:val="single" w:sz="4" w:space="0" w:color="auto"/>
              <w:bottom w:val="single" w:sz="4" w:space="0" w:color="auto"/>
              <w:right w:val="single" w:sz="4" w:space="0" w:color="auto"/>
            </w:tcBorders>
            <w:shd w:val="clear" w:color="auto" w:fill="FF0000"/>
          </w:tcPr>
          <w:p w14:paraId="37FF0D44" w14:textId="77777777" w:rsidR="00931587" w:rsidRPr="00F054E3" w:rsidRDefault="00AF55DE" w:rsidP="62385CB5">
            <w:pPr>
              <w:pStyle w:val="NoSpacing"/>
              <w:jc w:val="center"/>
              <w:rPr>
                <w:rFonts w:ascii="Arial" w:eastAsia="Arial" w:hAnsi="Arial" w:cs="Arial"/>
                <w:color w:val="FFFFFF" w:themeColor="background1"/>
              </w:rPr>
            </w:pPr>
            <w:r w:rsidRPr="00F054E3">
              <w:rPr>
                <w:rFonts w:ascii="Arial" w:eastAsia="Arial" w:hAnsi="Arial" w:cs="Arial"/>
                <w:color w:val="FFFFFF" w:themeColor="background1"/>
              </w:rPr>
              <w:t>0</w:t>
            </w:r>
          </w:p>
        </w:tc>
        <w:tc>
          <w:tcPr>
            <w:tcW w:w="1485" w:type="dxa"/>
            <w:tcBorders>
              <w:top w:val="single" w:sz="4" w:space="0" w:color="auto"/>
              <w:left w:val="single" w:sz="4" w:space="0" w:color="auto"/>
              <w:bottom w:val="single" w:sz="4" w:space="0" w:color="auto"/>
              <w:right w:val="single" w:sz="4" w:space="0" w:color="auto"/>
            </w:tcBorders>
            <w:shd w:val="clear" w:color="auto" w:fill="FF0000"/>
          </w:tcPr>
          <w:p w14:paraId="0FA51442" w14:textId="040E6FE2" w:rsidR="4D773738" w:rsidRPr="00F054E3" w:rsidRDefault="00AF55DE" w:rsidP="62385CB5">
            <w:pPr>
              <w:pStyle w:val="NoSpacing"/>
              <w:jc w:val="center"/>
              <w:rPr>
                <w:rFonts w:ascii="Arial" w:eastAsia="Arial" w:hAnsi="Arial" w:cs="Arial"/>
                <w:color w:val="FFFFFF" w:themeColor="background1"/>
              </w:rPr>
            </w:pPr>
            <w:r w:rsidRPr="00F054E3">
              <w:rPr>
                <w:rFonts w:ascii="Arial" w:eastAsia="Arial" w:hAnsi="Arial" w:cs="Arial"/>
                <w:color w:val="FFFFFF" w:themeColor="background1"/>
              </w:rPr>
              <w:t>143</w:t>
            </w:r>
          </w:p>
        </w:tc>
        <w:tc>
          <w:tcPr>
            <w:tcW w:w="2032" w:type="dxa"/>
            <w:tcBorders>
              <w:top w:val="single" w:sz="4" w:space="0" w:color="auto"/>
              <w:left w:val="single" w:sz="4" w:space="0" w:color="auto"/>
              <w:bottom w:val="single" w:sz="4" w:space="0" w:color="auto"/>
              <w:right w:val="single" w:sz="4" w:space="0" w:color="auto"/>
            </w:tcBorders>
            <w:shd w:val="clear" w:color="auto" w:fill="auto"/>
          </w:tcPr>
          <w:p w14:paraId="63C66BBF" w14:textId="77777777" w:rsidR="00931587" w:rsidRPr="00AB547C" w:rsidRDefault="00AF55DE" w:rsidP="62385CB5">
            <w:pPr>
              <w:pStyle w:val="NoSpacing"/>
              <w:jc w:val="center"/>
              <w:rPr>
                <w:rFonts w:ascii="Arial" w:eastAsia="Arial" w:hAnsi="Arial" w:cs="Arial"/>
              </w:rPr>
            </w:pPr>
            <w:r w:rsidRPr="62385CB5">
              <w:rPr>
                <w:rFonts w:ascii="Arial" w:eastAsia="Arial" w:hAnsi="Arial" w:cs="Arial"/>
              </w:rPr>
              <w:t>600</w:t>
            </w:r>
          </w:p>
          <w:p w14:paraId="2FD0ED03" w14:textId="63181ADB" w:rsidR="00931587" w:rsidRPr="00AB547C" w:rsidRDefault="00931587" w:rsidP="62385CB5">
            <w:pPr>
              <w:pStyle w:val="NoSpacing"/>
              <w:jc w:val="center"/>
            </w:pPr>
          </w:p>
          <w:p w14:paraId="4E20699C" w14:textId="6DE26578" w:rsidR="00931587" w:rsidRPr="00AB547C" w:rsidRDefault="00AF55DE" w:rsidP="62385CB5">
            <w:pPr>
              <w:pStyle w:val="NoSpacing"/>
              <w:jc w:val="center"/>
              <w:rPr>
                <w:rFonts w:ascii="Arial" w:eastAsia="Arial" w:hAnsi="Arial" w:cs="Arial"/>
              </w:rPr>
            </w:pPr>
            <w:r w:rsidRPr="62385CB5">
              <w:rPr>
                <w:rFonts w:ascii="Arial" w:eastAsia="Arial" w:hAnsi="Arial" w:cs="Arial"/>
              </w:rPr>
              <w:t>(</w:t>
            </w:r>
            <w:r w:rsidR="376BD025" w:rsidRPr="62385CB5">
              <w:rPr>
                <w:rFonts w:ascii="Arial" w:eastAsia="Arial" w:hAnsi="Arial" w:cs="Arial"/>
              </w:rPr>
              <w:t>2021/2022 target being reviewed</w:t>
            </w:r>
            <w:r w:rsidR="5F348B87" w:rsidRPr="62385CB5">
              <w:rPr>
                <w:rFonts w:ascii="Arial" w:eastAsia="Arial" w:hAnsi="Arial" w:cs="Arial"/>
              </w:rPr>
              <w:t>)</w:t>
            </w:r>
            <w:r>
              <w:br/>
            </w:r>
          </w:p>
        </w:tc>
      </w:tr>
    </w:tbl>
    <w:p w14:paraId="651A6F5D" w14:textId="51B7C73B" w:rsidR="00931587" w:rsidRPr="002E52CE" w:rsidRDefault="00AF55DE" w:rsidP="62385CB5">
      <w:r>
        <w:lastRenderedPageBreak/>
        <w:br/>
      </w:r>
      <w:r w:rsidR="269FF2C8" w:rsidRPr="62385CB5">
        <w:rPr>
          <w:b/>
          <w:bCs/>
          <w:sz w:val="22"/>
          <w:szCs w:val="22"/>
          <w:lang w:eastAsia="en-GB"/>
        </w:rPr>
        <w:t>Use of Libraries</w:t>
      </w:r>
      <w:r w:rsidR="269FF2C8" w:rsidRPr="62385CB5">
        <w:rPr>
          <w:sz w:val="22"/>
          <w:szCs w:val="22"/>
          <w:lang w:eastAsia="en-GB"/>
        </w:rPr>
        <w:t xml:space="preserve">. </w:t>
      </w:r>
      <w:r w:rsidR="29CC5DFC" w:rsidRPr="62385CB5">
        <w:rPr>
          <w:sz w:val="22"/>
          <w:szCs w:val="22"/>
          <w:lang w:eastAsia="en-GB"/>
        </w:rPr>
        <w:t xml:space="preserve">Quarter 1 2021/22 saw all libraries reopening fully on the </w:t>
      </w:r>
      <w:r w:rsidR="6EFE83BE" w:rsidRPr="62385CB5">
        <w:rPr>
          <w:sz w:val="22"/>
          <w:szCs w:val="22"/>
          <w:lang w:eastAsia="en-GB"/>
        </w:rPr>
        <w:t>12th of</w:t>
      </w:r>
      <w:r w:rsidR="29CC5DFC" w:rsidRPr="62385CB5">
        <w:rPr>
          <w:sz w:val="22"/>
          <w:szCs w:val="22"/>
          <w:lang w:eastAsia="en-GB"/>
        </w:rPr>
        <w:t xml:space="preserve"> April, though with lunch-time closures for those open for full days, meaning hours are effectively reduced and still with some covid safety precautions in place within the buildings.</w:t>
      </w:r>
    </w:p>
    <w:p w14:paraId="183C3866" w14:textId="33AE9708" w:rsidR="00931587" w:rsidRPr="00AB547C" w:rsidRDefault="00AF55DE" w:rsidP="62385CB5">
      <w:pPr>
        <w:rPr>
          <w:sz w:val="22"/>
          <w:szCs w:val="22"/>
          <w:lang w:eastAsia="en-GB"/>
        </w:rPr>
      </w:pPr>
      <w:r w:rsidRPr="78C3123E">
        <w:rPr>
          <w:b/>
          <w:bCs/>
          <w:sz w:val="22"/>
          <w:szCs w:val="22"/>
          <w:lang w:eastAsia="en-GB"/>
        </w:rPr>
        <w:t xml:space="preserve">People's network (PNET) sessions. </w:t>
      </w:r>
      <w:r w:rsidRPr="78C3123E">
        <w:rPr>
          <w:sz w:val="22"/>
          <w:szCs w:val="22"/>
          <w:lang w:eastAsia="en-GB"/>
        </w:rPr>
        <w:t xml:space="preserve"> </w:t>
      </w:r>
      <w:r w:rsidR="6E1FCDB0" w:rsidRPr="78C3123E">
        <w:rPr>
          <w:sz w:val="22"/>
          <w:szCs w:val="22"/>
          <w:lang w:eastAsia="en-GB"/>
        </w:rPr>
        <w:t>Sessions were available during Q</w:t>
      </w:r>
      <w:r w:rsidR="14269FA8" w:rsidRPr="78C3123E">
        <w:rPr>
          <w:sz w:val="22"/>
          <w:szCs w:val="22"/>
          <w:lang w:eastAsia="en-GB"/>
        </w:rPr>
        <w:t>uar</w:t>
      </w:r>
      <w:r w:rsidR="6E1FCDB0" w:rsidRPr="78C3123E">
        <w:rPr>
          <w:sz w:val="22"/>
          <w:szCs w:val="22"/>
          <w:lang w:eastAsia="en-GB"/>
        </w:rPr>
        <w:t>t</w:t>
      </w:r>
      <w:r w:rsidR="6C28D499" w:rsidRPr="78C3123E">
        <w:rPr>
          <w:sz w:val="22"/>
          <w:szCs w:val="22"/>
          <w:lang w:eastAsia="en-GB"/>
        </w:rPr>
        <w:t>e</w:t>
      </w:r>
      <w:r w:rsidR="6E1FCDB0" w:rsidRPr="78C3123E">
        <w:rPr>
          <w:sz w:val="22"/>
          <w:szCs w:val="22"/>
          <w:lang w:eastAsia="en-GB"/>
        </w:rPr>
        <w:t xml:space="preserve">r 1, but still subject to covid safety regulations, meaning significantly fewer terminals were available to ensure distancing and </w:t>
      </w:r>
      <w:r w:rsidR="7261CBBD" w:rsidRPr="78C3123E">
        <w:rPr>
          <w:sz w:val="22"/>
          <w:szCs w:val="22"/>
          <w:lang w:eastAsia="en-GB"/>
        </w:rPr>
        <w:t>shorter</w:t>
      </w:r>
      <w:r w:rsidR="6E1FCDB0" w:rsidRPr="78C3123E">
        <w:rPr>
          <w:sz w:val="22"/>
          <w:szCs w:val="22"/>
          <w:lang w:eastAsia="en-GB"/>
        </w:rPr>
        <w:t xml:space="preserve"> sessions, as cleaning time was required between </w:t>
      </w:r>
      <w:r w:rsidR="1412ECDB" w:rsidRPr="78C3123E">
        <w:rPr>
          <w:sz w:val="22"/>
          <w:szCs w:val="22"/>
          <w:lang w:eastAsia="en-GB"/>
        </w:rPr>
        <w:t>customers.</w:t>
      </w:r>
      <w:r w:rsidRPr="78C3123E">
        <w:rPr>
          <w:sz w:val="22"/>
          <w:szCs w:val="22"/>
        </w:rPr>
        <w:t xml:space="preserve"> </w:t>
      </w:r>
      <w:r w:rsidR="269FF2C8">
        <w:br/>
      </w:r>
      <w:r w:rsidR="269FF2C8">
        <w:br/>
      </w:r>
      <w:r w:rsidRPr="78C3123E">
        <w:rPr>
          <w:b/>
          <w:bCs/>
          <w:sz w:val="22"/>
          <w:szCs w:val="22"/>
          <w:lang w:eastAsia="en-GB"/>
        </w:rPr>
        <w:t>Library events.</w:t>
      </w:r>
      <w:r w:rsidRPr="78C3123E">
        <w:rPr>
          <w:sz w:val="22"/>
          <w:szCs w:val="22"/>
          <w:lang w:eastAsia="en-GB"/>
        </w:rPr>
        <w:t xml:space="preserve"> </w:t>
      </w:r>
      <w:r w:rsidR="4858EFA5" w:rsidRPr="78C3123E">
        <w:rPr>
          <w:sz w:val="22"/>
          <w:szCs w:val="22"/>
          <w:lang w:eastAsia="en-GB"/>
        </w:rPr>
        <w:t>During Q</w:t>
      </w:r>
      <w:r w:rsidR="159BDCBD" w:rsidRPr="78C3123E">
        <w:rPr>
          <w:sz w:val="22"/>
          <w:szCs w:val="22"/>
          <w:lang w:eastAsia="en-GB"/>
        </w:rPr>
        <w:t>uar</w:t>
      </w:r>
      <w:r w:rsidR="4858EFA5" w:rsidRPr="78C3123E">
        <w:rPr>
          <w:sz w:val="22"/>
          <w:szCs w:val="22"/>
          <w:lang w:eastAsia="en-GB"/>
        </w:rPr>
        <w:t>t</w:t>
      </w:r>
      <w:r w:rsidR="1B35B4F2" w:rsidRPr="78C3123E">
        <w:rPr>
          <w:sz w:val="22"/>
          <w:szCs w:val="22"/>
          <w:lang w:eastAsia="en-GB"/>
        </w:rPr>
        <w:t>e</w:t>
      </w:r>
      <w:r w:rsidR="4858EFA5" w:rsidRPr="78C3123E">
        <w:rPr>
          <w:sz w:val="22"/>
          <w:szCs w:val="22"/>
          <w:lang w:eastAsia="en-GB"/>
        </w:rPr>
        <w:t>r 1 online events and competitions remained popular, including adults</w:t>
      </w:r>
      <w:r w:rsidR="3B4D9E71" w:rsidRPr="78C3123E">
        <w:rPr>
          <w:sz w:val="22"/>
          <w:szCs w:val="22"/>
          <w:lang w:eastAsia="en-GB"/>
        </w:rPr>
        <w:t>’</w:t>
      </w:r>
      <w:r w:rsidR="4858EFA5" w:rsidRPr="78C3123E">
        <w:rPr>
          <w:sz w:val="22"/>
          <w:szCs w:val="22"/>
          <w:lang w:eastAsia="en-GB"/>
        </w:rPr>
        <w:t xml:space="preserve"> and children's book clubs, author interviews, family book activities, </w:t>
      </w:r>
      <w:r w:rsidR="75924973" w:rsidRPr="78C3123E">
        <w:rPr>
          <w:sz w:val="22"/>
          <w:szCs w:val="22"/>
          <w:lang w:eastAsia="en-GB"/>
        </w:rPr>
        <w:t>p</w:t>
      </w:r>
      <w:r w:rsidR="4858EFA5" w:rsidRPr="78C3123E">
        <w:rPr>
          <w:sz w:val="22"/>
          <w:szCs w:val="22"/>
          <w:lang w:eastAsia="en-GB"/>
        </w:rPr>
        <w:t xml:space="preserve">odcasts, </w:t>
      </w:r>
      <w:r w:rsidR="13449828" w:rsidRPr="78C3123E">
        <w:rPr>
          <w:sz w:val="22"/>
          <w:szCs w:val="22"/>
          <w:lang w:eastAsia="en-GB"/>
        </w:rPr>
        <w:t>r</w:t>
      </w:r>
      <w:r w:rsidR="4858EFA5" w:rsidRPr="78C3123E">
        <w:rPr>
          <w:sz w:val="22"/>
          <w:szCs w:val="22"/>
          <w:lang w:eastAsia="en-GB"/>
        </w:rPr>
        <w:t xml:space="preserve">eading </w:t>
      </w:r>
      <w:r w:rsidR="7D05A24C" w:rsidRPr="78C3123E">
        <w:rPr>
          <w:sz w:val="22"/>
          <w:szCs w:val="22"/>
          <w:lang w:eastAsia="en-GB"/>
        </w:rPr>
        <w:t>f</w:t>
      </w:r>
      <w:r w:rsidR="4858EFA5" w:rsidRPr="78C3123E">
        <w:rPr>
          <w:sz w:val="22"/>
          <w:szCs w:val="22"/>
          <w:lang w:eastAsia="en-GB"/>
        </w:rPr>
        <w:t xml:space="preserve">riends sessions, an online book launch and a Facebook chat group etc. With some 4,218 individuals "attending" virtually. </w:t>
      </w:r>
      <w:r w:rsidR="1BAA1B5F" w:rsidRPr="78C3123E">
        <w:rPr>
          <w:sz w:val="22"/>
          <w:szCs w:val="22"/>
          <w:lang w:eastAsia="en-GB"/>
        </w:rPr>
        <w:t>Towards</w:t>
      </w:r>
      <w:r w:rsidR="4858EFA5" w:rsidRPr="78C3123E">
        <w:rPr>
          <w:sz w:val="22"/>
          <w:szCs w:val="22"/>
          <w:lang w:eastAsia="en-GB"/>
        </w:rPr>
        <w:t xml:space="preserve"> the end of the period the first children's in-library events began to re-start connected mostly with the Summer Reading Challenge for young library users.</w:t>
      </w:r>
      <w:r w:rsidRPr="78C3123E">
        <w:rPr>
          <w:sz w:val="22"/>
          <w:szCs w:val="22"/>
          <w:lang w:eastAsia="en-GB"/>
        </w:rPr>
        <w:t xml:space="preserve"> </w:t>
      </w:r>
    </w:p>
    <w:p w14:paraId="023ED9A9" w14:textId="6577C72F" w:rsidR="00931587" w:rsidRPr="00AB547C" w:rsidRDefault="00AF55DE" w:rsidP="00931587">
      <w:pPr>
        <w:rPr>
          <w:sz w:val="22"/>
          <w:szCs w:val="22"/>
          <w:lang w:eastAsia="en-GB"/>
        </w:rPr>
      </w:pPr>
      <w:r w:rsidRPr="78C3123E">
        <w:rPr>
          <w:b/>
          <w:bCs/>
          <w:sz w:val="22"/>
          <w:szCs w:val="22"/>
          <w:lang w:eastAsia="en-GB"/>
        </w:rPr>
        <w:t>e-downloads.</w:t>
      </w:r>
      <w:r w:rsidRPr="78C3123E">
        <w:rPr>
          <w:sz w:val="22"/>
          <w:szCs w:val="22"/>
          <w:lang w:eastAsia="en-GB"/>
        </w:rPr>
        <w:t xml:space="preserve"> </w:t>
      </w:r>
      <w:r w:rsidR="454F9085" w:rsidRPr="78C3123E">
        <w:rPr>
          <w:sz w:val="22"/>
          <w:szCs w:val="22"/>
          <w:lang w:eastAsia="en-GB"/>
        </w:rPr>
        <w:t xml:space="preserve">Since restrictions due to </w:t>
      </w:r>
      <w:r w:rsidR="23A20FEC" w:rsidRPr="78C3123E">
        <w:rPr>
          <w:sz w:val="22"/>
          <w:szCs w:val="22"/>
          <w:lang w:eastAsia="en-GB"/>
        </w:rPr>
        <w:t>Coronavirus</w:t>
      </w:r>
      <w:r w:rsidR="454F9085" w:rsidRPr="78C3123E">
        <w:rPr>
          <w:sz w:val="22"/>
          <w:szCs w:val="22"/>
          <w:lang w:eastAsia="en-GB"/>
        </w:rPr>
        <w:t xml:space="preserve"> measures were first announced, the eBook service has seen significant increase in registered members and usage - this coupled with new formats - eMagazines, eNewspapers and eComics - being made available has seen a major increase in usage.</w:t>
      </w:r>
    </w:p>
    <w:p w14:paraId="47A81EEA" w14:textId="34BA9FF3" w:rsidR="269FF2C8" w:rsidRDefault="00AF55DE" w:rsidP="62385CB5">
      <w:pPr>
        <w:rPr>
          <w:lang w:eastAsia="en-GB"/>
        </w:rPr>
      </w:pPr>
      <w:r w:rsidRPr="78C3123E">
        <w:rPr>
          <w:b/>
          <w:bCs/>
          <w:sz w:val="22"/>
          <w:szCs w:val="22"/>
          <w:lang w:eastAsia="en-GB"/>
        </w:rPr>
        <w:t>Volunteers in libraries</w:t>
      </w:r>
      <w:r w:rsidRPr="78C3123E">
        <w:rPr>
          <w:sz w:val="22"/>
          <w:szCs w:val="22"/>
          <w:lang w:eastAsia="en-GB"/>
        </w:rPr>
        <w:t xml:space="preserve">. </w:t>
      </w:r>
      <w:r w:rsidR="2749FFA1" w:rsidRPr="78C3123E">
        <w:rPr>
          <w:sz w:val="22"/>
          <w:szCs w:val="22"/>
          <w:lang w:eastAsia="en-GB"/>
        </w:rPr>
        <w:t>Q</w:t>
      </w:r>
      <w:r w:rsidR="1A680D3A" w:rsidRPr="78C3123E">
        <w:rPr>
          <w:sz w:val="22"/>
          <w:szCs w:val="22"/>
          <w:lang w:eastAsia="en-GB"/>
        </w:rPr>
        <w:t>ua</w:t>
      </w:r>
      <w:r w:rsidR="5E4DABBC" w:rsidRPr="78C3123E">
        <w:rPr>
          <w:sz w:val="22"/>
          <w:szCs w:val="22"/>
          <w:lang w:eastAsia="en-GB"/>
        </w:rPr>
        <w:t>r</w:t>
      </w:r>
      <w:r w:rsidR="2749FFA1" w:rsidRPr="78C3123E">
        <w:rPr>
          <w:sz w:val="22"/>
          <w:szCs w:val="22"/>
          <w:lang w:eastAsia="en-GB"/>
        </w:rPr>
        <w:t>t</w:t>
      </w:r>
      <w:r w:rsidR="7A5CC80D" w:rsidRPr="78C3123E">
        <w:rPr>
          <w:sz w:val="22"/>
          <w:szCs w:val="22"/>
          <w:lang w:eastAsia="en-GB"/>
        </w:rPr>
        <w:t>e</w:t>
      </w:r>
      <w:r w:rsidR="2749FFA1" w:rsidRPr="78C3123E">
        <w:rPr>
          <w:sz w:val="22"/>
          <w:szCs w:val="22"/>
          <w:lang w:eastAsia="en-GB"/>
        </w:rPr>
        <w:t>r 1 saw some volunteer operated services running, with 48 volunteers on Home Library Service deliveries (out of 72 registered and prepared to carry out duties). Also 95 Culture Hack volunteers are registered and available, though mostly confined to online events and training in this period.</w:t>
      </w:r>
    </w:p>
    <w:tbl>
      <w:tblPr>
        <w:tblW w:w="13713" w:type="dxa"/>
        <w:jc w:val="center"/>
        <w:tblLayout w:type="fixed"/>
        <w:tblLook w:val="04A0" w:firstRow="1" w:lastRow="0" w:firstColumn="1" w:lastColumn="0" w:noHBand="0" w:noVBand="1"/>
      </w:tblPr>
      <w:tblGrid>
        <w:gridCol w:w="2415"/>
        <w:gridCol w:w="1155"/>
        <w:gridCol w:w="1440"/>
        <w:gridCol w:w="885"/>
        <w:gridCol w:w="1560"/>
        <w:gridCol w:w="1710"/>
        <w:gridCol w:w="1530"/>
        <w:gridCol w:w="1515"/>
        <w:gridCol w:w="1503"/>
      </w:tblGrid>
      <w:tr w:rsidR="00BB349C" w14:paraId="7BB07F63" w14:textId="77777777" w:rsidTr="78C3123E">
        <w:trPr>
          <w:trHeight w:val="540"/>
          <w:jc w:val="center"/>
        </w:trPr>
        <w:tc>
          <w:tcPr>
            <w:tcW w:w="2415" w:type="dxa"/>
            <w:tcBorders>
              <w:top w:val="single" w:sz="8" w:space="0" w:color="auto"/>
              <w:left w:val="single" w:sz="8" w:space="0" w:color="auto"/>
              <w:bottom w:val="single" w:sz="8" w:space="0" w:color="auto"/>
              <w:right w:val="single" w:sz="8" w:space="0" w:color="auto"/>
            </w:tcBorders>
          </w:tcPr>
          <w:p w14:paraId="56D392E9" w14:textId="34AABCDC" w:rsidR="62385CB5" w:rsidRDefault="00AF55DE">
            <w:r w:rsidRPr="62385CB5">
              <w:rPr>
                <w:rFonts w:eastAsia="Arial" w:cs="Arial"/>
                <w:b/>
                <w:bCs/>
                <w:sz w:val="22"/>
                <w:szCs w:val="22"/>
              </w:rPr>
              <w:t>Performance Indicator</w:t>
            </w:r>
            <w:r w:rsidRPr="62385CB5">
              <w:rPr>
                <w:rFonts w:eastAsia="Arial" w:cs="Arial"/>
                <w:sz w:val="22"/>
                <w:szCs w:val="22"/>
              </w:rPr>
              <w:t xml:space="preserve"> </w:t>
            </w:r>
          </w:p>
        </w:tc>
        <w:tc>
          <w:tcPr>
            <w:tcW w:w="1155" w:type="dxa"/>
            <w:tcBorders>
              <w:top w:val="single" w:sz="8" w:space="0" w:color="auto"/>
              <w:left w:val="single" w:sz="8" w:space="0" w:color="auto"/>
              <w:bottom w:val="single" w:sz="8" w:space="0" w:color="auto"/>
              <w:right w:val="single" w:sz="8" w:space="0" w:color="auto"/>
            </w:tcBorders>
          </w:tcPr>
          <w:p w14:paraId="65A847EA" w14:textId="2E1E9ADD" w:rsidR="62385CB5" w:rsidRDefault="00AF55DE" w:rsidP="62385CB5">
            <w:pPr>
              <w:rPr>
                <w:rFonts w:eastAsia="Arial" w:cs="Arial"/>
                <w:sz w:val="22"/>
                <w:szCs w:val="22"/>
              </w:rPr>
            </w:pPr>
            <w:r w:rsidRPr="62385CB5">
              <w:rPr>
                <w:rFonts w:eastAsia="Arial" w:cs="Arial"/>
                <w:b/>
                <w:bCs/>
                <w:sz w:val="22"/>
                <w:szCs w:val="22"/>
              </w:rPr>
              <w:t>Freq</w:t>
            </w:r>
          </w:p>
        </w:tc>
        <w:tc>
          <w:tcPr>
            <w:tcW w:w="1440" w:type="dxa"/>
            <w:tcBorders>
              <w:top w:val="single" w:sz="8" w:space="0" w:color="auto"/>
              <w:left w:val="single" w:sz="8" w:space="0" w:color="auto"/>
              <w:bottom w:val="single" w:sz="8" w:space="0" w:color="auto"/>
              <w:right w:val="single" w:sz="8" w:space="0" w:color="auto"/>
            </w:tcBorders>
          </w:tcPr>
          <w:p w14:paraId="0DB3524D" w14:textId="4D2CA732" w:rsidR="62385CB5" w:rsidRDefault="00AF55DE">
            <w:r w:rsidRPr="62385CB5">
              <w:rPr>
                <w:rFonts w:eastAsia="Arial" w:cs="Arial"/>
                <w:b/>
                <w:bCs/>
                <w:sz w:val="22"/>
                <w:szCs w:val="22"/>
              </w:rPr>
              <w:t xml:space="preserve">Directorate </w:t>
            </w:r>
            <w:r w:rsidRPr="62385CB5">
              <w:rPr>
                <w:rFonts w:eastAsia="Arial" w:cs="Arial"/>
                <w:sz w:val="22"/>
                <w:szCs w:val="22"/>
              </w:rPr>
              <w:t xml:space="preserve"> </w:t>
            </w:r>
          </w:p>
        </w:tc>
        <w:tc>
          <w:tcPr>
            <w:tcW w:w="885" w:type="dxa"/>
            <w:tcBorders>
              <w:top w:val="single" w:sz="8" w:space="0" w:color="auto"/>
              <w:left w:val="single" w:sz="8" w:space="0" w:color="auto"/>
              <w:bottom w:val="single" w:sz="8" w:space="0" w:color="auto"/>
              <w:right w:val="single" w:sz="8" w:space="0" w:color="auto"/>
            </w:tcBorders>
          </w:tcPr>
          <w:p w14:paraId="6988F019" w14:textId="79049807" w:rsidR="62385CB5" w:rsidRDefault="00AF55DE">
            <w:r w:rsidRPr="62385CB5">
              <w:rPr>
                <w:rFonts w:eastAsia="Arial" w:cs="Arial"/>
                <w:b/>
                <w:bCs/>
                <w:sz w:val="22"/>
                <w:szCs w:val="22"/>
              </w:rPr>
              <w:t>Good is</w:t>
            </w:r>
            <w:r w:rsidRPr="62385CB5">
              <w:rPr>
                <w:rFonts w:eastAsia="Arial" w:cs="Arial"/>
                <w:sz w:val="22"/>
                <w:szCs w:val="22"/>
              </w:rPr>
              <w:t xml:space="preserve"> </w:t>
            </w:r>
          </w:p>
        </w:tc>
        <w:tc>
          <w:tcPr>
            <w:tcW w:w="1560" w:type="dxa"/>
            <w:tcBorders>
              <w:top w:val="single" w:sz="8" w:space="0" w:color="auto"/>
              <w:left w:val="single" w:sz="8" w:space="0" w:color="auto"/>
              <w:bottom w:val="single" w:sz="8" w:space="0" w:color="auto"/>
              <w:right w:val="single" w:sz="8" w:space="0" w:color="auto"/>
            </w:tcBorders>
          </w:tcPr>
          <w:p w14:paraId="3B6B71A1" w14:textId="74EB02B4" w:rsidR="62385CB5" w:rsidRDefault="00AF55DE">
            <w:r w:rsidRPr="62385CB5">
              <w:rPr>
                <w:rFonts w:eastAsia="Arial" w:cs="Arial"/>
                <w:b/>
                <w:bCs/>
                <w:sz w:val="22"/>
                <w:szCs w:val="22"/>
              </w:rPr>
              <w:t>2019/20 Outturn</w:t>
            </w:r>
            <w:r w:rsidRPr="62385CB5">
              <w:rPr>
                <w:rFonts w:eastAsia="Arial" w:cs="Arial"/>
                <w:sz w:val="22"/>
                <w:szCs w:val="22"/>
              </w:rPr>
              <w:t xml:space="preserve"> </w:t>
            </w:r>
          </w:p>
        </w:tc>
        <w:tc>
          <w:tcPr>
            <w:tcW w:w="1710" w:type="dxa"/>
            <w:tcBorders>
              <w:top w:val="single" w:sz="8" w:space="0" w:color="auto"/>
              <w:left w:val="single" w:sz="8" w:space="0" w:color="auto"/>
              <w:bottom w:val="single" w:sz="8" w:space="0" w:color="auto"/>
              <w:right w:val="single" w:sz="8" w:space="0" w:color="auto"/>
            </w:tcBorders>
          </w:tcPr>
          <w:p w14:paraId="088B3D99" w14:textId="07E5F64F" w:rsidR="62385CB5" w:rsidRDefault="00AF55DE" w:rsidP="78C3123E">
            <w:pPr>
              <w:jc w:val="left"/>
              <w:rPr>
                <w:rFonts w:eastAsia="Arial" w:cs="Arial"/>
                <w:sz w:val="18"/>
                <w:szCs w:val="18"/>
              </w:rPr>
            </w:pPr>
            <w:r w:rsidRPr="78C3123E">
              <w:rPr>
                <w:rFonts w:eastAsia="Arial" w:cs="Arial"/>
                <w:b/>
                <w:bCs/>
                <w:sz w:val="22"/>
                <w:szCs w:val="22"/>
              </w:rPr>
              <w:t xml:space="preserve"> 2020/21 Outturn</w:t>
            </w:r>
          </w:p>
        </w:tc>
        <w:tc>
          <w:tcPr>
            <w:tcW w:w="1530" w:type="dxa"/>
            <w:tcBorders>
              <w:top w:val="single" w:sz="8" w:space="0" w:color="auto"/>
              <w:left w:val="single" w:sz="8" w:space="0" w:color="auto"/>
              <w:bottom w:val="single" w:sz="8" w:space="0" w:color="auto"/>
              <w:right w:val="single" w:sz="8" w:space="0" w:color="auto"/>
            </w:tcBorders>
          </w:tcPr>
          <w:p w14:paraId="4F89D7D6" w14:textId="745EF601" w:rsidR="62385CB5" w:rsidRDefault="00AF55DE">
            <w:r w:rsidRPr="62385CB5">
              <w:rPr>
                <w:rFonts w:eastAsia="Arial" w:cs="Arial"/>
                <w:b/>
                <w:bCs/>
                <w:sz w:val="22"/>
                <w:szCs w:val="22"/>
              </w:rPr>
              <w:t xml:space="preserve">2020/21 Quarter 1 </w:t>
            </w:r>
            <w:r w:rsidRPr="62385CB5">
              <w:rPr>
                <w:rFonts w:eastAsia="Arial" w:cs="Arial"/>
                <w:b/>
                <w:bCs/>
                <w:sz w:val="18"/>
                <w:szCs w:val="18"/>
              </w:rPr>
              <w:t>(April –June)</w:t>
            </w:r>
            <w:r w:rsidRPr="62385CB5">
              <w:rPr>
                <w:rFonts w:eastAsia="Arial" w:cs="Arial"/>
                <w:sz w:val="18"/>
                <w:szCs w:val="18"/>
              </w:rPr>
              <w:t xml:space="preserve"> </w:t>
            </w:r>
          </w:p>
        </w:tc>
        <w:tc>
          <w:tcPr>
            <w:tcW w:w="1515" w:type="dxa"/>
            <w:tcBorders>
              <w:top w:val="single" w:sz="8" w:space="0" w:color="auto"/>
              <w:left w:val="single" w:sz="8" w:space="0" w:color="auto"/>
              <w:bottom w:val="single" w:sz="8" w:space="0" w:color="auto"/>
              <w:right w:val="single" w:sz="8" w:space="0" w:color="auto"/>
            </w:tcBorders>
          </w:tcPr>
          <w:p w14:paraId="4EF5034F" w14:textId="1D4C4DB7" w:rsidR="62385CB5" w:rsidRDefault="00AF55DE">
            <w:r w:rsidRPr="62385CB5">
              <w:rPr>
                <w:rFonts w:eastAsia="Arial" w:cs="Arial"/>
                <w:b/>
                <w:bCs/>
                <w:sz w:val="22"/>
                <w:szCs w:val="22"/>
              </w:rPr>
              <w:t xml:space="preserve">2021/22 Quarter 1 </w:t>
            </w:r>
            <w:r w:rsidRPr="62385CB5">
              <w:rPr>
                <w:rFonts w:eastAsia="Arial" w:cs="Arial"/>
                <w:b/>
                <w:bCs/>
                <w:sz w:val="18"/>
                <w:szCs w:val="18"/>
              </w:rPr>
              <w:t>(April –June)</w:t>
            </w:r>
            <w:r w:rsidRPr="62385CB5">
              <w:rPr>
                <w:rFonts w:eastAsia="Arial" w:cs="Arial"/>
                <w:sz w:val="18"/>
                <w:szCs w:val="18"/>
              </w:rPr>
              <w:t xml:space="preserve"> </w:t>
            </w:r>
          </w:p>
        </w:tc>
        <w:tc>
          <w:tcPr>
            <w:tcW w:w="1503" w:type="dxa"/>
            <w:tcBorders>
              <w:top w:val="single" w:sz="8" w:space="0" w:color="auto"/>
              <w:left w:val="single" w:sz="8" w:space="0" w:color="auto"/>
              <w:bottom w:val="single" w:sz="8" w:space="0" w:color="auto"/>
              <w:right w:val="single" w:sz="8" w:space="0" w:color="auto"/>
            </w:tcBorders>
          </w:tcPr>
          <w:p w14:paraId="2B16459F" w14:textId="7561D89F" w:rsidR="62385CB5" w:rsidRDefault="00AF55DE">
            <w:r w:rsidRPr="62385CB5">
              <w:rPr>
                <w:rFonts w:eastAsia="Arial" w:cs="Arial"/>
                <w:b/>
                <w:bCs/>
                <w:sz w:val="22"/>
                <w:szCs w:val="22"/>
              </w:rPr>
              <w:t>2020/21 Target</w:t>
            </w:r>
            <w:r w:rsidRPr="62385CB5">
              <w:rPr>
                <w:rFonts w:eastAsia="Arial" w:cs="Arial"/>
                <w:sz w:val="22"/>
                <w:szCs w:val="22"/>
              </w:rPr>
              <w:t xml:space="preserve"> </w:t>
            </w:r>
          </w:p>
        </w:tc>
      </w:tr>
      <w:tr w:rsidR="00BB349C" w14:paraId="4BAAE1E7" w14:textId="77777777" w:rsidTr="78C3123E">
        <w:trPr>
          <w:trHeight w:val="960"/>
          <w:jc w:val="center"/>
        </w:trPr>
        <w:tc>
          <w:tcPr>
            <w:tcW w:w="2415" w:type="dxa"/>
            <w:tcBorders>
              <w:top w:val="single" w:sz="8" w:space="0" w:color="auto"/>
              <w:left w:val="single" w:sz="8" w:space="0" w:color="auto"/>
              <w:bottom w:val="single" w:sz="8" w:space="0" w:color="auto"/>
              <w:right w:val="single" w:sz="8" w:space="0" w:color="auto"/>
            </w:tcBorders>
          </w:tcPr>
          <w:p w14:paraId="4C268552" w14:textId="28FCEA12" w:rsidR="62385CB5" w:rsidRDefault="00AF55DE" w:rsidP="78C3123E">
            <w:pPr>
              <w:jc w:val="left"/>
            </w:pPr>
            <w:r w:rsidRPr="78C3123E">
              <w:rPr>
                <w:rFonts w:eastAsia="Arial" w:cs="Arial"/>
                <w:sz w:val="22"/>
                <w:szCs w:val="22"/>
              </w:rPr>
              <w:t xml:space="preserve">Percentage of young people in employment education or training (EET) </w:t>
            </w:r>
          </w:p>
        </w:tc>
        <w:tc>
          <w:tcPr>
            <w:tcW w:w="1155" w:type="dxa"/>
            <w:tcBorders>
              <w:top w:val="single" w:sz="8" w:space="0" w:color="auto"/>
              <w:left w:val="single" w:sz="8" w:space="0" w:color="auto"/>
              <w:bottom w:val="single" w:sz="8" w:space="0" w:color="auto"/>
              <w:right w:val="single" w:sz="8" w:space="0" w:color="auto"/>
            </w:tcBorders>
          </w:tcPr>
          <w:p w14:paraId="55DCA9EC" w14:textId="07391DBF" w:rsidR="62385CB5" w:rsidRDefault="00AF55DE">
            <w:r w:rsidRPr="62385CB5">
              <w:rPr>
                <w:rFonts w:eastAsia="Arial" w:cs="Arial"/>
                <w:sz w:val="22"/>
                <w:szCs w:val="22"/>
              </w:rPr>
              <w:t xml:space="preserve">Quarterly </w:t>
            </w:r>
          </w:p>
        </w:tc>
        <w:tc>
          <w:tcPr>
            <w:tcW w:w="1440" w:type="dxa"/>
            <w:tcBorders>
              <w:top w:val="single" w:sz="8" w:space="0" w:color="auto"/>
              <w:left w:val="single" w:sz="8" w:space="0" w:color="auto"/>
              <w:bottom w:val="single" w:sz="8" w:space="0" w:color="auto"/>
              <w:right w:val="single" w:sz="8" w:space="0" w:color="auto"/>
            </w:tcBorders>
          </w:tcPr>
          <w:p w14:paraId="6C2670DD" w14:textId="5A7C660A" w:rsidR="62385CB5" w:rsidRDefault="00AF55DE">
            <w:r w:rsidRPr="62385CB5">
              <w:rPr>
                <w:rFonts w:eastAsia="Arial" w:cs="Arial"/>
                <w:sz w:val="22"/>
                <w:szCs w:val="22"/>
              </w:rPr>
              <w:t xml:space="preserve">Education and Children's Services </w:t>
            </w:r>
          </w:p>
        </w:tc>
        <w:tc>
          <w:tcPr>
            <w:tcW w:w="885" w:type="dxa"/>
            <w:tcBorders>
              <w:top w:val="single" w:sz="8" w:space="0" w:color="auto"/>
              <w:left w:val="single" w:sz="8" w:space="0" w:color="auto"/>
              <w:bottom w:val="single" w:sz="8" w:space="0" w:color="auto"/>
              <w:right w:val="single" w:sz="8" w:space="0" w:color="auto"/>
            </w:tcBorders>
          </w:tcPr>
          <w:p w14:paraId="5E7259B6" w14:textId="52EDFC0D" w:rsidR="62385CB5" w:rsidRDefault="00AF55DE">
            <w:r w:rsidRPr="62385CB5">
              <w:rPr>
                <w:rFonts w:eastAsia="Arial" w:cs="Arial"/>
                <w:sz w:val="22"/>
                <w:szCs w:val="22"/>
              </w:rPr>
              <w:t xml:space="preserve">High </w:t>
            </w:r>
          </w:p>
        </w:tc>
        <w:tc>
          <w:tcPr>
            <w:tcW w:w="1560"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14:paraId="2CDC6283" w14:textId="3A5091B2" w:rsidR="62385CB5" w:rsidRDefault="00AF55DE" w:rsidP="62385CB5">
            <w:pPr>
              <w:jc w:val="center"/>
            </w:pPr>
            <w:r w:rsidRPr="78C3123E">
              <w:rPr>
                <w:rFonts w:eastAsia="Arial" w:cs="Arial"/>
                <w:color w:val="000000" w:themeColor="text1"/>
                <w:sz w:val="22"/>
                <w:szCs w:val="22"/>
              </w:rPr>
              <w:t xml:space="preserve">93% </w:t>
            </w:r>
            <w:r>
              <w:br/>
            </w:r>
            <w:r w:rsidRPr="78C3123E">
              <w:rPr>
                <w:rFonts w:eastAsia="Arial" w:cs="Arial"/>
                <w:color w:val="000000" w:themeColor="text1"/>
                <w:sz w:val="22"/>
                <w:szCs w:val="22"/>
              </w:rPr>
              <w:t xml:space="preserve">(Dec 2019 – Feb 20 average) </w:t>
            </w:r>
          </w:p>
          <w:p w14:paraId="2478EB10" w14:textId="377D358C" w:rsidR="62385CB5" w:rsidRDefault="00AF55DE" w:rsidP="62385CB5">
            <w:pPr>
              <w:jc w:val="center"/>
            </w:pPr>
            <w:r w:rsidRPr="62385CB5">
              <w:rPr>
                <w:rFonts w:eastAsia="Arial" w:cs="Arial"/>
                <w:color w:val="000000" w:themeColor="text1"/>
                <w:sz w:val="22"/>
                <w:szCs w:val="22"/>
              </w:rPr>
              <w:t xml:space="preserve"> </w:t>
            </w:r>
          </w:p>
        </w:tc>
        <w:tc>
          <w:tcPr>
            <w:tcW w:w="171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655C0EE5" w14:textId="42C8CF57" w:rsidR="62385CB5" w:rsidRDefault="00AF55DE" w:rsidP="62385CB5">
            <w:pPr>
              <w:jc w:val="center"/>
            </w:pPr>
            <w:r w:rsidRPr="78C3123E">
              <w:rPr>
                <w:rFonts w:eastAsia="Arial" w:cs="Arial"/>
                <w:color w:val="000000" w:themeColor="text1"/>
                <w:sz w:val="22"/>
                <w:szCs w:val="22"/>
              </w:rPr>
              <w:t xml:space="preserve">93.8% </w:t>
            </w:r>
            <w:r>
              <w:br/>
            </w:r>
            <w:r w:rsidRPr="78C3123E">
              <w:rPr>
                <w:rFonts w:eastAsia="Arial" w:cs="Arial"/>
                <w:color w:val="000000" w:themeColor="text1"/>
                <w:sz w:val="22"/>
                <w:szCs w:val="22"/>
              </w:rPr>
              <w:t xml:space="preserve">(Dec 2020 – Feb 2021 average) </w:t>
            </w:r>
          </w:p>
          <w:p w14:paraId="5571F907" w14:textId="05BFA358" w:rsidR="62385CB5" w:rsidRDefault="00AF55DE" w:rsidP="62385CB5">
            <w:pPr>
              <w:jc w:val="center"/>
            </w:pPr>
            <w:r w:rsidRPr="62385CB5">
              <w:rPr>
                <w:rFonts w:eastAsia="Arial" w:cs="Arial"/>
                <w:color w:val="000000" w:themeColor="text1"/>
                <w:sz w:val="22"/>
                <w:szCs w:val="22"/>
              </w:rPr>
              <w:t xml:space="preserve"> </w:t>
            </w:r>
          </w:p>
        </w:tc>
        <w:tc>
          <w:tcPr>
            <w:tcW w:w="1530"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14:paraId="2FB430E9" w14:textId="7FE603C3" w:rsidR="62385CB5" w:rsidRDefault="00AF55DE" w:rsidP="62385CB5">
            <w:pPr>
              <w:jc w:val="center"/>
            </w:pPr>
            <w:r w:rsidRPr="62385CB5">
              <w:rPr>
                <w:rFonts w:eastAsia="Arial" w:cs="Arial"/>
                <w:color w:val="000000" w:themeColor="text1"/>
                <w:sz w:val="22"/>
                <w:szCs w:val="22"/>
              </w:rPr>
              <w:t xml:space="preserve">93.2%  </w:t>
            </w:r>
            <w:r>
              <w:br/>
            </w:r>
            <w:r w:rsidRPr="62385CB5">
              <w:rPr>
                <w:rFonts w:eastAsia="Arial" w:cs="Arial"/>
                <w:color w:val="000000" w:themeColor="text1"/>
                <w:sz w:val="22"/>
                <w:szCs w:val="22"/>
              </w:rPr>
              <w:t xml:space="preserve">(June 2020) </w:t>
            </w:r>
          </w:p>
          <w:p w14:paraId="5850EB8C" w14:textId="42BB469A" w:rsidR="62385CB5" w:rsidRDefault="00AF55DE" w:rsidP="62385CB5">
            <w:pPr>
              <w:jc w:val="center"/>
            </w:pPr>
            <w:r w:rsidRPr="62385CB5">
              <w:rPr>
                <w:rFonts w:eastAsia="Arial" w:cs="Arial"/>
                <w:color w:val="000000" w:themeColor="text1"/>
                <w:sz w:val="22"/>
                <w:szCs w:val="22"/>
              </w:rPr>
              <w:t xml:space="preserve"> </w:t>
            </w:r>
          </w:p>
        </w:tc>
        <w:tc>
          <w:tcPr>
            <w:tcW w:w="1515"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14:paraId="5A872196" w14:textId="0234341D" w:rsidR="62385CB5" w:rsidRDefault="00AF55DE" w:rsidP="62385CB5">
            <w:pPr>
              <w:spacing w:line="252" w:lineRule="auto"/>
              <w:jc w:val="center"/>
            </w:pPr>
            <w:r w:rsidRPr="78C3123E">
              <w:rPr>
                <w:rFonts w:eastAsia="Arial" w:cs="Arial"/>
                <w:sz w:val="22"/>
                <w:szCs w:val="22"/>
              </w:rPr>
              <w:t xml:space="preserve">95.1% </w:t>
            </w:r>
            <w:r>
              <w:br/>
            </w:r>
            <w:r w:rsidRPr="78C3123E">
              <w:rPr>
                <w:rFonts w:eastAsia="Arial" w:cs="Arial"/>
                <w:sz w:val="22"/>
                <w:szCs w:val="22"/>
              </w:rPr>
              <w:t>(June 2021)</w:t>
            </w:r>
          </w:p>
        </w:tc>
        <w:tc>
          <w:tcPr>
            <w:tcW w:w="1503" w:type="dxa"/>
            <w:tcBorders>
              <w:top w:val="single" w:sz="8" w:space="0" w:color="auto"/>
              <w:left w:val="single" w:sz="8" w:space="0" w:color="auto"/>
              <w:bottom w:val="single" w:sz="8" w:space="0" w:color="auto"/>
              <w:right w:val="single" w:sz="8" w:space="0" w:color="auto"/>
            </w:tcBorders>
          </w:tcPr>
          <w:p w14:paraId="07502E03" w14:textId="4CB34C09" w:rsidR="62385CB5" w:rsidRDefault="00AF55DE" w:rsidP="62385CB5">
            <w:pPr>
              <w:jc w:val="center"/>
            </w:pPr>
            <w:r w:rsidRPr="62385CB5">
              <w:rPr>
                <w:rFonts w:eastAsia="Arial" w:cs="Arial"/>
                <w:sz w:val="22"/>
                <w:szCs w:val="22"/>
              </w:rPr>
              <w:t xml:space="preserve">94.7% </w:t>
            </w:r>
          </w:p>
          <w:p w14:paraId="1DDCE624" w14:textId="11ED65B7" w:rsidR="62385CB5" w:rsidRDefault="00AF55DE" w:rsidP="62385CB5">
            <w:pPr>
              <w:jc w:val="center"/>
            </w:pPr>
            <w:r w:rsidRPr="62385CB5">
              <w:rPr>
                <w:rFonts w:eastAsia="Arial" w:cs="Arial"/>
                <w:sz w:val="22"/>
                <w:szCs w:val="22"/>
              </w:rPr>
              <w:t xml:space="preserve">(Dec 2020-Feb 2021 average) </w:t>
            </w:r>
          </w:p>
        </w:tc>
      </w:tr>
      <w:tr w:rsidR="00BB349C" w14:paraId="2E01C73C" w14:textId="77777777" w:rsidTr="78C3123E">
        <w:trPr>
          <w:trHeight w:val="960"/>
          <w:jc w:val="center"/>
        </w:trPr>
        <w:tc>
          <w:tcPr>
            <w:tcW w:w="2415" w:type="dxa"/>
            <w:tcBorders>
              <w:top w:val="single" w:sz="8" w:space="0" w:color="auto"/>
              <w:left w:val="single" w:sz="8" w:space="0" w:color="auto"/>
              <w:bottom w:val="single" w:sz="8" w:space="0" w:color="auto"/>
              <w:right w:val="single" w:sz="8" w:space="0" w:color="auto"/>
            </w:tcBorders>
          </w:tcPr>
          <w:p w14:paraId="190D9A99" w14:textId="5F79B937" w:rsidR="62385CB5" w:rsidRDefault="00AF55DE" w:rsidP="78C3123E">
            <w:pPr>
              <w:jc w:val="left"/>
            </w:pPr>
            <w:r w:rsidRPr="78C3123E">
              <w:rPr>
                <w:rFonts w:eastAsia="Arial" w:cs="Arial"/>
                <w:sz w:val="22"/>
                <w:szCs w:val="22"/>
              </w:rPr>
              <w:t xml:space="preserve">Percentage of young people in education or training (EET) SEND pupils </w:t>
            </w:r>
          </w:p>
        </w:tc>
        <w:tc>
          <w:tcPr>
            <w:tcW w:w="1155" w:type="dxa"/>
            <w:tcBorders>
              <w:top w:val="single" w:sz="8" w:space="0" w:color="auto"/>
              <w:left w:val="single" w:sz="8" w:space="0" w:color="auto"/>
              <w:bottom w:val="single" w:sz="8" w:space="0" w:color="auto"/>
              <w:right w:val="single" w:sz="8" w:space="0" w:color="auto"/>
            </w:tcBorders>
          </w:tcPr>
          <w:p w14:paraId="68739D31" w14:textId="7405B0B9" w:rsidR="62385CB5" w:rsidRDefault="00AF55DE">
            <w:r w:rsidRPr="62385CB5">
              <w:rPr>
                <w:rFonts w:eastAsia="Arial" w:cs="Arial"/>
                <w:sz w:val="22"/>
                <w:szCs w:val="22"/>
              </w:rPr>
              <w:t xml:space="preserve">Annual </w:t>
            </w:r>
          </w:p>
        </w:tc>
        <w:tc>
          <w:tcPr>
            <w:tcW w:w="1440" w:type="dxa"/>
            <w:tcBorders>
              <w:top w:val="single" w:sz="8" w:space="0" w:color="auto"/>
              <w:left w:val="single" w:sz="8" w:space="0" w:color="auto"/>
              <w:bottom w:val="single" w:sz="8" w:space="0" w:color="auto"/>
              <w:right w:val="single" w:sz="8" w:space="0" w:color="auto"/>
            </w:tcBorders>
          </w:tcPr>
          <w:p w14:paraId="344B6330" w14:textId="002012CD" w:rsidR="62385CB5" w:rsidRDefault="00AF55DE">
            <w:r w:rsidRPr="62385CB5">
              <w:rPr>
                <w:rFonts w:eastAsia="Arial" w:cs="Arial"/>
                <w:sz w:val="22"/>
                <w:szCs w:val="22"/>
              </w:rPr>
              <w:t xml:space="preserve">Education and Children's Services </w:t>
            </w:r>
          </w:p>
        </w:tc>
        <w:tc>
          <w:tcPr>
            <w:tcW w:w="885" w:type="dxa"/>
            <w:tcBorders>
              <w:top w:val="single" w:sz="8" w:space="0" w:color="auto"/>
              <w:left w:val="single" w:sz="8" w:space="0" w:color="auto"/>
              <w:bottom w:val="single" w:sz="8" w:space="0" w:color="auto"/>
              <w:right w:val="single" w:sz="8" w:space="0" w:color="auto"/>
            </w:tcBorders>
          </w:tcPr>
          <w:p w14:paraId="59ADA72D" w14:textId="0776C464" w:rsidR="62385CB5" w:rsidRDefault="00AF55DE">
            <w:r w:rsidRPr="62385CB5">
              <w:rPr>
                <w:rFonts w:eastAsia="Arial" w:cs="Arial"/>
                <w:sz w:val="22"/>
                <w:szCs w:val="22"/>
              </w:rPr>
              <w:t xml:space="preserve">High </w:t>
            </w:r>
          </w:p>
        </w:tc>
        <w:tc>
          <w:tcPr>
            <w:tcW w:w="1560"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14:paraId="03899029" w14:textId="2E6BEDE5" w:rsidR="62385CB5" w:rsidRDefault="00AF55DE" w:rsidP="002E52CE">
            <w:pPr>
              <w:jc w:val="center"/>
            </w:pPr>
            <w:r w:rsidRPr="78C3123E">
              <w:rPr>
                <w:rFonts w:eastAsia="Arial" w:cs="Arial"/>
                <w:color w:val="000000" w:themeColor="text1"/>
                <w:sz w:val="22"/>
                <w:szCs w:val="22"/>
              </w:rPr>
              <w:t xml:space="preserve">88.9% </w:t>
            </w:r>
            <w:r>
              <w:br/>
            </w:r>
            <w:r w:rsidRPr="78C3123E">
              <w:rPr>
                <w:rFonts w:eastAsia="Arial" w:cs="Arial"/>
                <w:color w:val="000000" w:themeColor="text1"/>
                <w:sz w:val="22"/>
                <w:szCs w:val="22"/>
              </w:rPr>
              <w:t xml:space="preserve">(Dec 2019 – Feb 20 average)  </w:t>
            </w:r>
          </w:p>
        </w:tc>
        <w:tc>
          <w:tcPr>
            <w:tcW w:w="1710"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14:paraId="6493650D" w14:textId="2D232C42" w:rsidR="62385CB5" w:rsidRDefault="00AF55DE" w:rsidP="62385CB5">
            <w:pPr>
              <w:jc w:val="center"/>
            </w:pPr>
            <w:r w:rsidRPr="62385CB5">
              <w:rPr>
                <w:rFonts w:eastAsia="Arial" w:cs="Arial"/>
                <w:color w:val="000000" w:themeColor="text1"/>
                <w:sz w:val="22"/>
                <w:szCs w:val="22"/>
              </w:rPr>
              <w:t xml:space="preserve">90.3% </w:t>
            </w:r>
            <w:r>
              <w:br/>
            </w:r>
            <w:r w:rsidRPr="62385CB5">
              <w:rPr>
                <w:rFonts w:eastAsia="Arial" w:cs="Arial"/>
                <w:color w:val="000000" w:themeColor="text1"/>
                <w:sz w:val="22"/>
                <w:szCs w:val="22"/>
              </w:rPr>
              <w:t xml:space="preserve">(Dec 2020-Feb 2021 average) </w:t>
            </w:r>
          </w:p>
        </w:tc>
        <w:tc>
          <w:tcPr>
            <w:tcW w:w="1530"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14:paraId="300165D3" w14:textId="4E4CC135" w:rsidR="62385CB5" w:rsidRDefault="00AF55DE" w:rsidP="62385CB5">
            <w:pPr>
              <w:jc w:val="center"/>
            </w:pPr>
            <w:r w:rsidRPr="62385CB5">
              <w:rPr>
                <w:rFonts w:eastAsia="Arial" w:cs="Arial"/>
                <w:color w:val="000000" w:themeColor="text1"/>
                <w:sz w:val="22"/>
                <w:szCs w:val="22"/>
              </w:rPr>
              <w:t xml:space="preserve">89.1%  </w:t>
            </w:r>
            <w:r>
              <w:br/>
            </w:r>
            <w:r w:rsidRPr="62385CB5">
              <w:rPr>
                <w:rFonts w:eastAsia="Arial" w:cs="Arial"/>
                <w:color w:val="000000" w:themeColor="text1"/>
                <w:sz w:val="22"/>
                <w:szCs w:val="22"/>
              </w:rPr>
              <w:t xml:space="preserve">(June 2020) </w:t>
            </w:r>
          </w:p>
          <w:p w14:paraId="7819FF09" w14:textId="05A556CD" w:rsidR="62385CB5" w:rsidRDefault="00AF55DE" w:rsidP="62385CB5">
            <w:pPr>
              <w:jc w:val="center"/>
            </w:pPr>
            <w:r w:rsidRPr="62385CB5">
              <w:rPr>
                <w:rFonts w:eastAsia="Arial" w:cs="Arial"/>
                <w:color w:val="000000" w:themeColor="text1"/>
                <w:sz w:val="22"/>
                <w:szCs w:val="22"/>
              </w:rPr>
              <w:t xml:space="preserve"> </w:t>
            </w:r>
          </w:p>
        </w:tc>
        <w:tc>
          <w:tcPr>
            <w:tcW w:w="1515"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14:paraId="05C2EAA9" w14:textId="4BD30435" w:rsidR="62385CB5" w:rsidRDefault="00AF55DE" w:rsidP="62385CB5">
            <w:pPr>
              <w:spacing w:line="252" w:lineRule="auto"/>
              <w:jc w:val="center"/>
            </w:pPr>
            <w:r w:rsidRPr="78C3123E">
              <w:rPr>
                <w:rFonts w:eastAsia="Arial" w:cs="Arial"/>
                <w:sz w:val="22"/>
                <w:szCs w:val="22"/>
              </w:rPr>
              <w:t>89.9 %</w:t>
            </w:r>
            <w:r>
              <w:br/>
            </w:r>
            <w:r w:rsidRPr="78C3123E">
              <w:rPr>
                <w:rFonts w:eastAsia="Arial" w:cs="Arial"/>
                <w:sz w:val="22"/>
                <w:szCs w:val="22"/>
              </w:rPr>
              <w:t>(June 2021)</w:t>
            </w:r>
          </w:p>
        </w:tc>
        <w:tc>
          <w:tcPr>
            <w:tcW w:w="1503" w:type="dxa"/>
            <w:tcBorders>
              <w:top w:val="single" w:sz="8" w:space="0" w:color="auto"/>
              <w:left w:val="single" w:sz="8" w:space="0" w:color="auto"/>
              <w:bottom w:val="single" w:sz="8" w:space="0" w:color="auto"/>
              <w:right w:val="single" w:sz="8" w:space="0" w:color="auto"/>
            </w:tcBorders>
          </w:tcPr>
          <w:p w14:paraId="54A22FAA" w14:textId="03D844FC" w:rsidR="62385CB5" w:rsidRDefault="00AF55DE" w:rsidP="62385CB5">
            <w:pPr>
              <w:jc w:val="center"/>
            </w:pPr>
            <w:r w:rsidRPr="62385CB5">
              <w:rPr>
                <w:rFonts w:eastAsia="Arial" w:cs="Arial"/>
                <w:sz w:val="22"/>
                <w:szCs w:val="22"/>
              </w:rPr>
              <w:t xml:space="preserve">86% (Dec 2020-Feb 2021 average) </w:t>
            </w:r>
          </w:p>
        </w:tc>
      </w:tr>
    </w:tbl>
    <w:p w14:paraId="305F6860" w14:textId="1B11DCBF" w:rsidR="78C3123E" w:rsidRPr="00B30E0E" w:rsidRDefault="00AF55DE" w:rsidP="78C3123E">
      <w:r w:rsidRPr="78C3123E">
        <w:rPr>
          <w:rFonts w:eastAsia="Arial" w:cs="Arial"/>
          <w:color w:val="000000" w:themeColor="text1"/>
        </w:rPr>
        <w:t xml:space="preserve"> </w:t>
      </w:r>
    </w:p>
    <w:p w14:paraId="54C30A80" w14:textId="1974BD33" w:rsidR="2144AF6D" w:rsidRDefault="00AF55DE" w:rsidP="00B404CF">
      <w:pPr>
        <w:jc w:val="left"/>
        <w:rPr>
          <w:color w:val="000000" w:themeColor="text1"/>
          <w:lang w:eastAsia="en-GB"/>
        </w:rPr>
      </w:pPr>
      <w:r w:rsidRPr="78C3123E">
        <w:rPr>
          <w:rFonts w:eastAsia="Arial" w:cs="Arial"/>
          <w:b/>
          <w:bCs/>
          <w:color w:val="000000" w:themeColor="text1"/>
          <w:sz w:val="22"/>
          <w:szCs w:val="22"/>
        </w:rPr>
        <w:lastRenderedPageBreak/>
        <w:t>Employment Education or Training (EET)</w:t>
      </w:r>
      <w:r w:rsidR="6E31BDD9" w:rsidRPr="78C3123E">
        <w:rPr>
          <w:rFonts w:eastAsia="Arial" w:cs="Arial"/>
          <w:b/>
          <w:bCs/>
          <w:color w:val="000000" w:themeColor="text1"/>
          <w:sz w:val="22"/>
          <w:szCs w:val="22"/>
        </w:rPr>
        <w:t xml:space="preserve"> </w:t>
      </w:r>
      <w:r w:rsidRPr="78C3123E">
        <w:rPr>
          <w:sz w:val="22"/>
          <w:szCs w:val="22"/>
          <w:lang w:eastAsia="en-GB"/>
        </w:rPr>
        <w:t>The percentage of 16 and</w:t>
      </w:r>
      <w:r w:rsidR="008A0CC5">
        <w:rPr>
          <w:sz w:val="22"/>
          <w:szCs w:val="22"/>
          <w:lang w:eastAsia="en-GB"/>
        </w:rPr>
        <w:t xml:space="preserve"> </w:t>
      </w:r>
      <w:r w:rsidRPr="78C3123E">
        <w:rPr>
          <w:sz w:val="22"/>
          <w:szCs w:val="22"/>
          <w:lang w:eastAsia="en-GB"/>
        </w:rPr>
        <w:t>17 year olds in EET was 93.8% based on the December 2020 to February 2021 figures, compared to 93% in the previous year against a target of 94.7%.  At 90.3%, the position for young people with SEND has also improved compared to 88.</w:t>
      </w:r>
      <w:r w:rsidRPr="78C3123E">
        <w:rPr>
          <w:sz w:val="22"/>
          <w:szCs w:val="22"/>
          <w:lang w:eastAsia="en-GB"/>
        </w:rPr>
        <w:t>9% in the previous year and that this performance is notably above the target of 86%.  Set against the challenges of the pandemic and the adverse impact on young people, it is pleasing to note that we are less than 1% off target overall.  However, the posi</w:t>
      </w:r>
      <w:r w:rsidRPr="78C3123E">
        <w:rPr>
          <w:sz w:val="22"/>
          <w:szCs w:val="22"/>
          <w:lang w:eastAsia="en-GB"/>
        </w:rPr>
        <w:t>tion for young people with SEND is 4.3% above the target. At 95.1%, the Q</w:t>
      </w:r>
      <w:r w:rsidR="6591F39C" w:rsidRPr="78C3123E">
        <w:rPr>
          <w:sz w:val="22"/>
          <w:szCs w:val="22"/>
          <w:lang w:eastAsia="en-GB"/>
        </w:rPr>
        <w:t>uar</w:t>
      </w:r>
      <w:r w:rsidRPr="78C3123E">
        <w:rPr>
          <w:sz w:val="22"/>
          <w:szCs w:val="22"/>
          <w:lang w:eastAsia="en-GB"/>
        </w:rPr>
        <w:t>t</w:t>
      </w:r>
      <w:r w:rsidR="05B412E1" w:rsidRPr="78C3123E">
        <w:rPr>
          <w:sz w:val="22"/>
          <w:szCs w:val="22"/>
          <w:lang w:eastAsia="en-GB"/>
        </w:rPr>
        <w:t>e</w:t>
      </w:r>
      <w:r w:rsidRPr="78C3123E">
        <w:rPr>
          <w:sz w:val="22"/>
          <w:szCs w:val="22"/>
          <w:lang w:eastAsia="en-GB"/>
        </w:rPr>
        <w:t>r1 position for 2021/22 shows a notable improvement for all young people compared to the 2020/21 Q</w:t>
      </w:r>
      <w:r w:rsidR="55B1DFF3" w:rsidRPr="78C3123E">
        <w:rPr>
          <w:sz w:val="22"/>
          <w:szCs w:val="22"/>
          <w:lang w:eastAsia="en-GB"/>
        </w:rPr>
        <w:t>uar</w:t>
      </w:r>
      <w:r w:rsidRPr="78C3123E">
        <w:rPr>
          <w:sz w:val="22"/>
          <w:szCs w:val="22"/>
          <w:lang w:eastAsia="en-GB"/>
        </w:rPr>
        <w:t>t</w:t>
      </w:r>
      <w:r w:rsidR="251DA5AA" w:rsidRPr="78C3123E">
        <w:rPr>
          <w:sz w:val="22"/>
          <w:szCs w:val="22"/>
          <w:lang w:eastAsia="en-GB"/>
        </w:rPr>
        <w:t>e</w:t>
      </w:r>
      <w:r w:rsidRPr="78C3123E">
        <w:rPr>
          <w:sz w:val="22"/>
          <w:szCs w:val="22"/>
          <w:lang w:eastAsia="en-GB"/>
        </w:rPr>
        <w:t>r 1 position of 93.2%. It can also be seen that the Q</w:t>
      </w:r>
      <w:r w:rsidR="57250064" w:rsidRPr="78C3123E">
        <w:rPr>
          <w:sz w:val="22"/>
          <w:szCs w:val="22"/>
          <w:lang w:eastAsia="en-GB"/>
        </w:rPr>
        <w:t>uar</w:t>
      </w:r>
      <w:r w:rsidRPr="78C3123E">
        <w:rPr>
          <w:sz w:val="22"/>
          <w:szCs w:val="22"/>
          <w:lang w:eastAsia="en-GB"/>
        </w:rPr>
        <w:t>t</w:t>
      </w:r>
      <w:r w:rsidR="7516F32E" w:rsidRPr="78C3123E">
        <w:rPr>
          <w:sz w:val="22"/>
          <w:szCs w:val="22"/>
          <w:lang w:eastAsia="en-GB"/>
        </w:rPr>
        <w:t>e</w:t>
      </w:r>
      <w:r w:rsidRPr="78C3123E">
        <w:rPr>
          <w:sz w:val="22"/>
          <w:szCs w:val="22"/>
          <w:lang w:eastAsia="en-GB"/>
        </w:rPr>
        <w:t xml:space="preserve">r 1 position for </w:t>
      </w:r>
      <w:r w:rsidRPr="78C3123E">
        <w:rPr>
          <w:sz w:val="22"/>
          <w:szCs w:val="22"/>
          <w:lang w:eastAsia="en-GB"/>
        </w:rPr>
        <w:t>young people with SEND has improved</w:t>
      </w:r>
      <w:r w:rsidR="00CF0CC7">
        <w:rPr>
          <w:sz w:val="22"/>
          <w:szCs w:val="22"/>
          <w:lang w:eastAsia="en-GB"/>
        </w:rPr>
        <w:t xml:space="preserve"> </w:t>
      </w:r>
      <w:r w:rsidRPr="78C3123E">
        <w:rPr>
          <w:sz w:val="22"/>
          <w:szCs w:val="22"/>
          <w:lang w:eastAsia="en-GB"/>
        </w:rPr>
        <w:t>by</w:t>
      </w:r>
      <w:r w:rsidR="00CF0CC7">
        <w:rPr>
          <w:sz w:val="22"/>
          <w:szCs w:val="22"/>
          <w:lang w:eastAsia="en-GB"/>
        </w:rPr>
        <w:t xml:space="preserve"> </w:t>
      </w:r>
      <w:r w:rsidRPr="78C3123E">
        <w:rPr>
          <w:sz w:val="22"/>
          <w:szCs w:val="22"/>
          <w:lang w:eastAsia="en-GB"/>
        </w:rPr>
        <w:t>0.8%.</w:t>
      </w:r>
      <w:r>
        <w:br/>
      </w:r>
      <w:r>
        <w:br/>
      </w:r>
      <w:r w:rsidR="186824BE" w:rsidRPr="78C3123E">
        <w:rPr>
          <w:rFonts w:eastAsia="Arial" w:cs="Arial"/>
          <w:color w:val="000000" w:themeColor="text1"/>
          <w:sz w:val="22"/>
          <w:szCs w:val="22"/>
        </w:rPr>
        <w:t>T</w:t>
      </w:r>
      <w:r w:rsidR="186824BE" w:rsidRPr="78C3123E">
        <w:rPr>
          <w:sz w:val="22"/>
          <w:szCs w:val="22"/>
          <w:lang w:eastAsia="en-GB"/>
        </w:rPr>
        <w:t>he continued focus on this area of work and the excellent engagement from secondary schools and post 16 providers has seen a sustained improvement in performance in this area.  This must be set against the continued challenging circumstances which the education sector, as well as children and young people, has faced throughout the pandemic.  The improvement in the December 2020 to February 2021 3 month average from the previous year shows how hard the team has worked to engage with the sector, which has been faced with various other priorities.  This also reflects how hard the sector has worked to continue to support young people to make positive and sustained transitions to post 16 education, employment or training.</w:t>
      </w:r>
    </w:p>
    <w:p w14:paraId="4300BB90" w14:textId="51094B89" w:rsidR="2144AF6D" w:rsidRPr="00E6645E" w:rsidRDefault="00AF55DE" w:rsidP="00B404CF">
      <w:pPr>
        <w:jc w:val="left"/>
        <w:rPr>
          <w:sz w:val="22"/>
          <w:szCs w:val="22"/>
          <w:lang w:eastAsia="en-GB"/>
        </w:rPr>
      </w:pPr>
      <w:r w:rsidRPr="78C3123E">
        <w:rPr>
          <w:rFonts w:eastAsia="Arial" w:cs="Arial"/>
          <w:color w:val="000000" w:themeColor="text1"/>
          <w:sz w:val="22"/>
          <w:szCs w:val="22"/>
        </w:rPr>
        <w:t xml:space="preserve"> </w:t>
      </w:r>
      <w:r w:rsidRPr="78C3123E">
        <w:rPr>
          <w:sz w:val="22"/>
          <w:szCs w:val="22"/>
          <w:lang w:eastAsia="en-GB"/>
        </w:rPr>
        <w:t>A range of actions continue to be undertaken by a dedicated team to improve the NEET and not known position, including a focus on vulnerable groups, and to ensure L</w:t>
      </w:r>
      <w:r w:rsidR="0124C105" w:rsidRPr="78C3123E">
        <w:rPr>
          <w:sz w:val="22"/>
          <w:szCs w:val="22"/>
          <w:lang w:eastAsia="en-GB"/>
        </w:rPr>
        <w:t xml:space="preserve">ancashire </w:t>
      </w:r>
      <w:r w:rsidRPr="78C3123E">
        <w:rPr>
          <w:sz w:val="22"/>
          <w:szCs w:val="22"/>
          <w:lang w:eastAsia="en-GB"/>
        </w:rPr>
        <w:t>C</w:t>
      </w:r>
      <w:r w:rsidR="7D3CDA8B" w:rsidRPr="78C3123E">
        <w:rPr>
          <w:sz w:val="22"/>
          <w:szCs w:val="22"/>
          <w:lang w:eastAsia="en-GB"/>
        </w:rPr>
        <w:t xml:space="preserve">ounty </w:t>
      </w:r>
      <w:r w:rsidRPr="78C3123E">
        <w:rPr>
          <w:sz w:val="22"/>
          <w:szCs w:val="22"/>
          <w:lang w:eastAsia="en-GB"/>
        </w:rPr>
        <w:t>C</w:t>
      </w:r>
      <w:r w:rsidR="62CDC28F" w:rsidRPr="78C3123E">
        <w:rPr>
          <w:sz w:val="22"/>
          <w:szCs w:val="22"/>
          <w:lang w:eastAsia="en-GB"/>
        </w:rPr>
        <w:t>ouncil</w:t>
      </w:r>
      <w:r w:rsidRPr="78C3123E">
        <w:rPr>
          <w:sz w:val="22"/>
          <w:szCs w:val="22"/>
          <w:lang w:eastAsia="en-GB"/>
        </w:rPr>
        <w:t xml:space="preserve"> is meeting the statutory duties for this area of work.  The team continues to engage with other teams internally, such as how we can work more effectively with the Inclusion Service to share data on the participation status of young people with SEND or wi</w:t>
      </w:r>
      <w:r w:rsidRPr="78C3123E">
        <w:rPr>
          <w:sz w:val="22"/>
          <w:szCs w:val="22"/>
          <w:lang w:eastAsia="en-GB"/>
        </w:rPr>
        <w:t>th an EHCP.  We are continuing to look at solutions in relation to tracking young people for whom we have no contact details.  We are also coming to the end of a short project which focused on providing information, advice and guidance to school leavers wi</w:t>
      </w:r>
      <w:r w:rsidRPr="78C3123E">
        <w:rPr>
          <w:sz w:val="22"/>
          <w:szCs w:val="22"/>
          <w:lang w:eastAsia="en-GB"/>
        </w:rPr>
        <w:t>th no intended destination and we will monitor the impact of this during the new academic year.</w:t>
      </w:r>
    </w:p>
    <w:p w14:paraId="3482DFC5" w14:textId="77777777" w:rsidR="00B30E0E" w:rsidRDefault="00B30E0E" w:rsidP="62385CB5">
      <w:pPr>
        <w:rPr>
          <w:color w:val="000000" w:themeColor="text1"/>
          <w:lang w:eastAsia="en-GB"/>
        </w:rPr>
      </w:pPr>
    </w:p>
    <w:tbl>
      <w:tblPr>
        <w:tblW w:w="13807" w:type="dxa"/>
        <w:jc w:val="center"/>
        <w:tblLayout w:type="fixed"/>
        <w:tblLook w:val="04A0" w:firstRow="1" w:lastRow="0" w:firstColumn="1" w:lastColumn="0" w:noHBand="0" w:noVBand="1"/>
      </w:tblPr>
      <w:tblGrid>
        <w:gridCol w:w="2550"/>
        <w:gridCol w:w="1410"/>
        <w:gridCol w:w="1755"/>
        <w:gridCol w:w="1050"/>
        <w:gridCol w:w="1785"/>
        <w:gridCol w:w="1935"/>
        <w:gridCol w:w="1760"/>
        <w:gridCol w:w="1562"/>
      </w:tblGrid>
      <w:tr w:rsidR="00BB349C" w14:paraId="1D2FD99C" w14:textId="77777777" w:rsidTr="78C3123E">
        <w:trPr>
          <w:trHeight w:val="285"/>
          <w:jc w:val="center"/>
        </w:trPr>
        <w:tc>
          <w:tcPr>
            <w:tcW w:w="2550" w:type="dxa"/>
            <w:tcBorders>
              <w:top w:val="single" w:sz="8" w:space="0" w:color="auto"/>
              <w:left w:val="single" w:sz="8" w:space="0" w:color="auto"/>
              <w:bottom w:val="single" w:sz="8" w:space="0" w:color="auto"/>
              <w:right w:val="single" w:sz="8" w:space="0" w:color="auto"/>
            </w:tcBorders>
            <w:shd w:val="clear" w:color="auto" w:fill="FFFFFF" w:themeFill="background1"/>
          </w:tcPr>
          <w:p w14:paraId="0F9B0CA6" w14:textId="47FD409F" w:rsidR="0E9FFDBC" w:rsidRDefault="00AF55DE">
            <w:r w:rsidRPr="0E9FFDBC">
              <w:rPr>
                <w:rFonts w:eastAsia="Arial" w:cs="Arial"/>
                <w:b/>
                <w:bCs/>
                <w:sz w:val="22"/>
                <w:szCs w:val="22"/>
              </w:rPr>
              <w:t>Performance Indicator</w:t>
            </w:r>
          </w:p>
        </w:tc>
        <w:tc>
          <w:tcPr>
            <w:tcW w:w="1410" w:type="dxa"/>
            <w:tcBorders>
              <w:top w:val="single" w:sz="8" w:space="0" w:color="auto"/>
              <w:left w:val="single" w:sz="8" w:space="0" w:color="auto"/>
              <w:bottom w:val="single" w:sz="8" w:space="0" w:color="auto"/>
              <w:right w:val="single" w:sz="8" w:space="0" w:color="auto"/>
            </w:tcBorders>
            <w:shd w:val="clear" w:color="auto" w:fill="FFFFFF" w:themeFill="background1"/>
          </w:tcPr>
          <w:p w14:paraId="1DAF80E2" w14:textId="3243E995" w:rsidR="0E9FFDBC" w:rsidRDefault="00AF55DE">
            <w:r w:rsidRPr="0E9FFDBC">
              <w:rPr>
                <w:rFonts w:eastAsia="Arial" w:cs="Arial"/>
                <w:b/>
                <w:bCs/>
                <w:color w:val="000000" w:themeColor="text1"/>
                <w:sz w:val="22"/>
                <w:szCs w:val="22"/>
              </w:rPr>
              <w:t>Frequency</w:t>
            </w:r>
          </w:p>
        </w:tc>
        <w:tc>
          <w:tcPr>
            <w:tcW w:w="1755" w:type="dxa"/>
            <w:tcBorders>
              <w:top w:val="single" w:sz="8" w:space="0" w:color="auto"/>
              <w:left w:val="single" w:sz="8" w:space="0" w:color="auto"/>
              <w:bottom w:val="single" w:sz="8" w:space="0" w:color="auto"/>
              <w:right w:val="single" w:sz="8" w:space="0" w:color="auto"/>
            </w:tcBorders>
            <w:shd w:val="clear" w:color="auto" w:fill="FFFFFF" w:themeFill="background1"/>
          </w:tcPr>
          <w:p w14:paraId="11ECE99D" w14:textId="179E4A7E" w:rsidR="0E9FFDBC" w:rsidRDefault="00AF55DE">
            <w:r w:rsidRPr="0E9FFDBC">
              <w:rPr>
                <w:rFonts w:eastAsia="Arial" w:cs="Arial"/>
                <w:b/>
                <w:bCs/>
                <w:color w:val="000000" w:themeColor="text1"/>
                <w:sz w:val="22"/>
                <w:szCs w:val="22"/>
              </w:rPr>
              <w:t xml:space="preserve">Directorate </w:t>
            </w:r>
          </w:p>
        </w:tc>
        <w:tc>
          <w:tcPr>
            <w:tcW w:w="1050" w:type="dxa"/>
            <w:tcBorders>
              <w:top w:val="single" w:sz="8" w:space="0" w:color="auto"/>
              <w:left w:val="single" w:sz="8" w:space="0" w:color="auto"/>
              <w:bottom w:val="single" w:sz="8" w:space="0" w:color="auto"/>
              <w:right w:val="single" w:sz="8" w:space="0" w:color="auto"/>
            </w:tcBorders>
            <w:shd w:val="clear" w:color="auto" w:fill="FFFFFF" w:themeFill="background1"/>
          </w:tcPr>
          <w:p w14:paraId="017635F0" w14:textId="6F5AECC1" w:rsidR="0E9FFDBC" w:rsidRDefault="00AF55DE">
            <w:r w:rsidRPr="0E9FFDBC">
              <w:rPr>
                <w:rFonts w:eastAsia="Arial" w:cs="Arial"/>
                <w:b/>
                <w:bCs/>
                <w:color w:val="000000" w:themeColor="text1"/>
                <w:sz w:val="22"/>
                <w:szCs w:val="22"/>
              </w:rPr>
              <w:t>Good is</w:t>
            </w:r>
          </w:p>
        </w:tc>
        <w:tc>
          <w:tcPr>
            <w:tcW w:w="1785" w:type="dxa"/>
            <w:tcBorders>
              <w:top w:val="single" w:sz="8" w:space="0" w:color="auto"/>
              <w:left w:val="single" w:sz="8" w:space="0" w:color="auto"/>
              <w:bottom w:val="single" w:sz="8" w:space="0" w:color="auto"/>
              <w:right w:val="single" w:sz="8" w:space="0" w:color="auto"/>
            </w:tcBorders>
            <w:shd w:val="clear" w:color="auto" w:fill="FFFFFF" w:themeFill="background1"/>
          </w:tcPr>
          <w:p w14:paraId="7B8B5A08" w14:textId="31B3DB0F" w:rsidR="0E9FFDBC" w:rsidRDefault="00AF55DE">
            <w:r w:rsidRPr="0E9FFDBC">
              <w:rPr>
                <w:rFonts w:eastAsia="Arial" w:cs="Arial"/>
                <w:b/>
                <w:bCs/>
                <w:color w:val="000000" w:themeColor="text1"/>
                <w:sz w:val="22"/>
                <w:szCs w:val="22"/>
              </w:rPr>
              <w:t>2017/18 Performance</w:t>
            </w:r>
          </w:p>
        </w:tc>
        <w:tc>
          <w:tcPr>
            <w:tcW w:w="1935" w:type="dxa"/>
            <w:tcBorders>
              <w:top w:val="single" w:sz="8" w:space="0" w:color="auto"/>
              <w:left w:val="single" w:sz="8" w:space="0" w:color="auto"/>
              <w:bottom w:val="single" w:sz="8" w:space="0" w:color="auto"/>
              <w:right w:val="single" w:sz="8" w:space="0" w:color="auto"/>
            </w:tcBorders>
            <w:shd w:val="clear" w:color="auto" w:fill="FFFFFF" w:themeFill="background1"/>
          </w:tcPr>
          <w:p w14:paraId="6A058CEE" w14:textId="1724DFFA" w:rsidR="0E9FFDBC" w:rsidRDefault="00AF55DE">
            <w:r w:rsidRPr="0E9FFDBC">
              <w:rPr>
                <w:rFonts w:eastAsia="Arial" w:cs="Arial"/>
                <w:b/>
                <w:bCs/>
                <w:color w:val="000000" w:themeColor="text1"/>
                <w:sz w:val="22"/>
                <w:szCs w:val="22"/>
              </w:rPr>
              <w:t>2018/19 Performance</w:t>
            </w:r>
          </w:p>
        </w:tc>
        <w:tc>
          <w:tcPr>
            <w:tcW w:w="1760" w:type="dxa"/>
            <w:tcBorders>
              <w:top w:val="single" w:sz="8" w:space="0" w:color="auto"/>
              <w:left w:val="single" w:sz="8" w:space="0" w:color="auto"/>
              <w:bottom w:val="single" w:sz="8" w:space="0" w:color="auto"/>
              <w:right w:val="single" w:sz="8" w:space="0" w:color="auto"/>
            </w:tcBorders>
            <w:shd w:val="clear" w:color="auto" w:fill="FFFFFF" w:themeFill="background1"/>
          </w:tcPr>
          <w:p w14:paraId="65154501" w14:textId="217DB76E" w:rsidR="0E9FFDBC" w:rsidRDefault="00AF55DE">
            <w:r w:rsidRPr="0E9FFDBC">
              <w:rPr>
                <w:rFonts w:eastAsia="Arial" w:cs="Arial"/>
                <w:b/>
                <w:bCs/>
                <w:color w:val="000000" w:themeColor="text1"/>
                <w:sz w:val="22"/>
                <w:szCs w:val="22"/>
              </w:rPr>
              <w:t>Latest Performance</w:t>
            </w:r>
          </w:p>
        </w:tc>
        <w:tc>
          <w:tcPr>
            <w:tcW w:w="1562" w:type="dxa"/>
            <w:tcBorders>
              <w:top w:val="single" w:sz="8" w:space="0" w:color="auto"/>
              <w:left w:val="single" w:sz="8" w:space="0" w:color="auto"/>
              <w:bottom w:val="single" w:sz="8" w:space="0" w:color="auto"/>
              <w:right w:val="single" w:sz="8" w:space="0" w:color="auto"/>
            </w:tcBorders>
            <w:shd w:val="clear" w:color="auto" w:fill="FFFFFF" w:themeFill="background1"/>
          </w:tcPr>
          <w:p w14:paraId="374E044C" w14:textId="32416FF8" w:rsidR="0E9FFDBC" w:rsidRDefault="00AF55DE">
            <w:r w:rsidRPr="0E9FFDBC">
              <w:rPr>
                <w:rFonts w:eastAsia="Arial" w:cs="Arial"/>
                <w:b/>
                <w:bCs/>
                <w:color w:val="000000" w:themeColor="text1"/>
                <w:sz w:val="22"/>
                <w:szCs w:val="22"/>
              </w:rPr>
              <w:t>2020/21 Target</w:t>
            </w:r>
          </w:p>
        </w:tc>
      </w:tr>
      <w:tr w:rsidR="00BB349C" w14:paraId="6A3E10A2" w14:textId="77777777" w:rsidTr="78C3123E">
        <w:trPr>
          <w:trHeight w:val="525"/>
          <w:jc w:val="center"/>
        </w:trPr>
        <w:tc>
          <w:tcPr>
            <w:tcW w:w="2550" w:type="dxa"/>
            <w:tcBorders>
              <w:top w:val="single" w:sz="8" w:space="0" w:color="auto"/>
              <w:left w:val="single" w:sz="8" w:space="0" w:color="auto"/>
              <w:bottom w:val="single" w:sz="8" w:space="0" w:color="auto"/>
              <w:right w:val="single" w:sz="8" w:space="0" w:color="auto"/>
            </w:tcBorders>
          </w:tcPr>
          <w:p w14:paraId="64A45F95" w14:textId="392515E6" w:rsidR="0E9FFDBC" w:rsidRDefault="00AF55DE" w:rsidP="78C3123E">
            <w:pPr>
              <w:jc w:val="left"/>
            </w:pPr>
            <w:r w:rsidRPr="78C3123E">
              <w:rPr>
                <w:rFonts w:eastAsia="Arial" w:cs="Arial"/>
                <w:sz w:val="22"/>
                <w:szCs w:val="22"/>
              </w:rPr>
              <w:t xml:space="preserve">Proportion of children </w:t>
            </w:r>
            <w:r w:rsidRPr="78C3123E">
              <w:rPr>
                <w:rFonts w:eastAsia="Arial" w:cs="Arial"/>
                <w:sz w:val="22"/>
                <w:szCs w:val="22"/>
              </w:rPr>
              <w:t>excluded from school</w:t>
            </w:r>
          </w:p>
          <w:p w14:paraId="13DCC117" w14:textId="35948DB5" w:rsidR="0E9FFDBC" w:rsidRDefault="00AF55DE">
            <w:r w:rsidRPr="0E9FFDBC">
              <w:rPr>
                <w:rFonts w:eastAsia="Arial" w:cs="Arial"/>
                <w:b/>
                <w:bCs/>
                <w:color w:val="000000" w:themeColor="text1"/>
                <w:sz w:val="22"/>
                <w:szCs w:val="22"/>
              </w:rPr>
              <w:t xml:space="preserve"> </w:t>
            </w:r>
          </w:p>
        </w:tc>
        <w:tc>
          <w:tcPr>
            <w:tcW w:w="1410" w:type="dxa"/>
            <w:tcBorders>
              <w:top w:val="single" w:sz="8" w:space="0" w:color="auto"/>
              <w:left w:val="single" w:sz="8" w:space="0" w:color="auto"/>
              <w:bottom w:val="single" w:sz="8" w:space="0" w:color="auto"/>
              <w:right w:val="single" w:sz="8" w:space="0" w:color="auto"/>
            </w:tcBorders>
          </w:tcPr>
          <w:p w14:paraId="41756EDA" w14:textId="21914327" w:rsidR="0E9FFDBC" w:rsidRDefault="00AF55DE">
            <w:r w:rsidRPr="0E9FFDBC">
              <w:rPr>
                <w:rFonts w:eastAsia="Arial" w:cs="Arial"/>
                <w:sz w:val="22"/>
                <w:szCs w:val="22"/>
              </w:rPr>
              <w:t>Quarterly</w:t>
            </w:r>
          </w:p>
        </w:tc>
        <w:tc>
          <w:tcPr>
            <w:tcW w:w="1755" w:type="dxa"/>
            <w:tcBorders>
              <w:top w:val="single" w:sz="8" w:space="0" w:color="auto"/>
              <w:left w:val="single" w:sz="8" w:space="0" w:color="auto"/>
              <w:bottom w:val="single" w:sz="8" w:space="0" w:color="auto"/>
              <w:right w:val="single" w:sz="8" w:space="0" w:color="auto"/>
            </w:tcBorders>
          </w:tcPr>
          <w:p w14:paraId="18B1B21F" w14:textId="1ED695ED" w:rsidR="0E9FFDBC" w:rsidRDefault="00AF55DE" w:rsidP="78C3123E">
            <w:pPr>
              <w:jc w:val="left"/>
            </w:pPr>
            <w:r w:rsidRPr="78C3123E">
              <w:rPr>
                <w:rFonts w:eastAsia="Arial" w:cs="Arial"/>
                <w:sz w:val="22"/>
                <w:szCs w:val="22"/>
              </w:rPr>
              <w:t>Education and Children's Services</w:t>
            </w:r>
          </w:p>
        </w:tc>
        <w:tc>
          <w:tcPr>
            <w:tcW w:w="1050" w:type="dxa"/>
            <w:tcBorders>
              <w:top w:val="single" w:sz="8" w:space="0" w:color="auto"/>
              <w:left w:val="single" w:sz="8" w:space="0" w:color="auto"/>
              <w:bottom w:val="single" w:sz="8" w:space="0" w:color="auto"/>
              <w:right w:val="single" w:sz="8" w:space="0" w:color="auto"/>
            </w:tcBorders>
          </w:tcPr>
          <w:p w14:paraId="3AC765FB" w14:textId="697EEB81" w:rsidR="0E9FFDBC" w:rsidRDefault="00AF55DE">
            <w:r w:rsidRPr="0E9FFDBC">
              <w:rPr>
                <w:rFonts w:eastAsia="Arial" w:cs="Arial"/>
                <w:sz w:val="22"/>
                <w:szCs w:val="22"/>
              </w:rPr>
              <w:t>Low</w:t>
            </w:r>
          </w:p>
        </w:tc>
        <w:tc>
          <w:tcPr>
            <w:tcW w:w="1785" w:type="dxa"/>
            <w:tcBorders>
              <w:top w:val="single" w:sz="8" w:space="0" w:color="auto"/>
              <w:left w:val="single" w:sz="8" w:space="0" w:color="auto"/>
              <w:bottom w:val="single" w:sz="8" w:space="0" w:color="auto"/>
              <w:right w:val="single" w:sz="8" w:space="0" w:color="auto"/>
            </w:tcBorders>
            <w:shd w:val="clear" w:color="auto" w:fill="FF0000"/>
          </w:tcPr>
          <w:p w14:paraId="7D5DDAFE" w14:textId="55C59641" w:rsidR="0E9FFDBC" w:rsidRDefault="00AF55DE" w:rsidP="78C3123E">
            <w:pPr>
              <w:jc w:val="center"/>
              <w:rPr>
                <w:rFonts w:eastAsia="Arial" w:cs="Arial"/>
                <w:color w:val="FFFFFF" w:themeColor="background1"/>
                <w:sz w:val="22"/>
                <w:szCs w:val="22"/>
              </w:rPr>
            </w:pPr>
            <w:r w:rsidRPr="78C3123E">
              <w:rPr>
                <w:rFonts w:eastAsia="Arial" w:cs="Arial"/>
                <w:color w:val="FFFFFF" w:themeColor="background1"/>
                <w:sz w:val="22"/>
                <w:szCs w:val="22"/>
              </w:rPr>
              <w:t>0.18% (2017/18)</w:t>
            </w:r>
          </w:p>
          <w:p w14:paraId="010196D5" w14:textId="41C795AF" w:rsidR="0E9FFDBC" w:rsidRDefault="00AF55DE" w:rsidP="78C3123E">
            <w:pPr>
              <w:jc w:val="center"/>
              <w:rPr>
                <w:rFonts w:eastAsia="Arial" w:cs="Arial"/>
                <w:color w:val="FFFFFF" w:themeColor="background1"/>
                <w:sz w:val="22"/>
                <w:szCs w:val="22"/>
              </w:rPr>
            </w:pPr>
            <w:r w:rsidRPr="78C3123E">
              <w:rPr>
                <w:rFonts w:eastAsia="Arial" w:cs="Arial"/>
                <w:color w:val="FFFFFF" w:themeColor="background1"/>
                <w:sz w:val="22"/>
                <w:szCs w:val="22"/>
              </w:rPr>
              <w:t xml:space="preserve"> </w:t>
            </w:r>
          </w:p>
        </w:tc>
        <w:tc>
          <w:tcPr>
            <w:tcW w:w="1935" w:type="dxa"/>
            <w:tcBorders>
              <w:top w:val="single" w:sz="8" w:space="0" w:color="auto"/>
              <w:left w:val="single" w:sz="8" w:space="0" w:color="auto"/>
              <w:bottom w:val="single" w:sz="8" w:space="0" w:color="auto"/>
              <w:right w:val="single" w:sz="8" w:space="0" w:color="auto"/>
            </w:tcBorders>
            <w:shd w:val="clear" w:color="auto" w:fill="FF0000"/>
          </w:tcPr>
          <w:p w14:paraId="24D66BE6" w14:textId="7BDBB4B5" w:rsidR="0E9FFDBC" w:rsidRDefault="00AF55DE" w:rsidP="78C3123E">
            <w:pPr>
              <w:jc w:val="center"/>
              <w:rPr>
                <w:rFonts w:eastAsia="Arial" w:cs="Arial"/>
                <w:color w:val="FFFFFF" w:themeColor="background1"/>
                <w:sz w:val="22"/>
                <w:szCs w:val="22"/>
              </w:rPr>
            </w:pPr>
            <w:r w:rsidRPr="78C3123E">
              <w:rPr>
                <w:rFonts w:eastAsia="Arial" w:cs="Arial"/>
                <w:color w:val="FFFFFF" w:themeColor="background1"/>
                <w:sz w:val="22"/>
                <w:szCs w:val="22"/>
              </w:rPr>
              <w:t>0.19% (2018/19)</w:t>
            </w:r>
          </w:p>
          <w:p w14:paraId="0FE4A272" w14:textId="6AB2CD66" w:rsidR="0E9FFDBC" w:rsidRDefault="00AF55DE" w:rsidP="78C3123E">
            <w:pPr>
              <w:jc w:val="center"/>
              <w:rPr>
                <w:rFonts w:eastAsia="Arial" w:cs="Arial"/>
                <w:color w:val="FFFFFF" w:themeColor="background1"/>
                <w:sz w:val="22"/>
                <w:szCs w:val="22"/>
              </w:rPr>
            </w:pPr>
            <w:r w:rsidRPr="78C3123E">
              <w:rPr>
                <w:rFonts w:eastAsia="Arial" w:cs="Arial"/>
                <w:color w:val="FFFFFF" w:themeColor="background1"/>
                <w:sz w:val="22"/>
                <w:szCs w:val="22"/>
              </w:rPr>
              <w:t xml:space="preserve"> </w:t>
            </w:r>
          </w:p>
        </w:tc>
        <w:tc>
          <w:tcPr>
            <w:tcW w:w="1760"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14:paraId="4AF908FE" w14:textId="402F3EF0" w:rsidR="0E9FFDBC" w:rsidRDefault="00AF55DE" w:rsidP="0E9FFDBC">
            <w:pPr>
              <w:jc w:val="center"/>
            </w:pPr>
            <w:r w:rsidRPr="77830264">
              <w:rPr>
                <w:rFonts w:eastAsia="Arial" w:cs="Arial"/>
                <w:color w:val="000000" w:themeColor="text1"/>
                <w:sz w:val="22"/>
                <w:szCs w:val="22"/>
              </w:rPr>
              <w:t>0.</w:t>
            </w:r>
            <w:r w:rsidR="7F251BD7" w:rsidRPr="77830264">
              <w:rPr>
                <w:rFonts w:eastAsia="Arial" w:cs="Arial"/>
                <w:color w:val="000000" w:themeColor="text1"/>
                <w:sz w:val="22"/>
                <w:szCs w:val="22"/>
              </w:rPr>
              <w:t>09</w:t>
            </w:r>
            <w:r w:rsidRPr="77830264">
              <w:rPr>
                <w:rFonts w:eastAsia="Arial" w:cs="Arial"/>
                <w:color w:val="000000" w:themeColor="text1"/>
                <w:sz w:val="22"/>
                <w:szCs w:val="22"/>
              </w:rPr>
              <w:t>%</w:t>
            </w:r>
            <w:r>
              <w:br/>
            </w:r>
            <w:r w:rsidRPr="77830264">
              <w:rPr>
                <w:rFonts w:eastAsia="Arial" w:cs="Arial"/>
                <w:color w:val="000000" w:themeColor="text1"/>
                <w:sz w:val="22"/>
                <w:szCs w:val="22"/>
              </w:rPr>
              <w:t>(2019/20)</w:t>
            </w:r>
          </w:p>
        </w:tc>
        <w:tc>
          <w:tcPr>
            <w:tcW w:w="1562" w:type="dxa"/>
            <w:tcBorders>
              <w:top w:val="single" w:sz="8" w:space="0" w:color="auto"/>
              <w:left w:val="single" w:sz="8" w:space="0" w:color="auto"/>
              <w:bottom w:val="single" w:sz="8" w:space="0" w:color="auto"/>
              <w:right w:val="single" w:sz="8" w:space="0" w:color="auto"/>
            </w:tcBorders>
          </w:tcPr>
          <w:p w14:paraId="61ECAF50" w14:textId="5F20B53E" w:rsidR="0E9FFDBC" w:rsidRDefault="00AF55DE" w:rsidP="0E9FFDBC">
            <w:pPr>
              <w:jc w:val="center"/>
            </w:pPr>
            <w:r w:rsidRPr="0E9FFDBC">
              <w:rPr>
                <w:rFonts w:eastAsia="Arial" w:cs="Arial"/>
                <w:sz w:val="22"/>
                <w:szCs w:val="22"/>
              </w:rPr>
              <w:t>0.09%</w:t>
            </w:r>
          </w:p>
        </w:tc>
      </w:tr>
    </w:tbl>
    <w:p w14:paraId="11321243" w14:textId="3813B87E" w:rsidR="4B656965" w:rsidRDefault="00AF55DE" w:rsidP="0E9FFDBC">
      <w:r w:rsidRPr="0E9FFDBC">
        <w:rPr>
          <w:rFonts w:eastAsia="Arial" w:cs="Arial"/>
          <w:color w:val="000000" w:themeColor="text1"/>
        </w:rPr>
        <w:t xml:space="preserve"> </w:t>
      </w:r>
    </w:p>
    <w:p w14:paraId="189A586C" w14:textId="5630DD2B" w:rsidR="4B656965" w:rsidRDefault="00AF55DE" w:rsidP="77830264">
      <w:pPr>
        <w:rPr>
          <w:rFonts w:eastAsia="Arial" w:cs="Arial"/>
          <w:color w:val="000000" w:themeColor="text1"/>
          <w:sz w:val="22"/>
          <w:szCs w:val="22"/>
        </w:rPr>
      </w:pPr>
      <w:r w:rsidRPr="78C3123E">
        <w:rPr>
          <w:rFonts w:eastAsia="Arial" w:cs="Arial"/>
          <w:b/>
          <w:bCs/>
          <w:color w:val="000000" w:themeColor="text1"/>
          <w:sz w:val="22"/>
          <w:szCs w:val="22"/>
        </w:rPr>
        <w:t>Exclusions.</w:t>
      </w:r>
      <w:r w:rsidRPr="78C3123E">
        <w:rPr>
          <w:rFonts w:eastAsia="Arial" w:cs="Arial"/>
          <w:color w:val="000000" w:themeColor="text1"/>
        </w:rPr>
        <w:t xml:space="preserve"> </w:t>
      </w:r>
      <w:r w:rsidRPr="78C3123E">
        <w:rPr>
          <w:rFonts w:eastAsia="Arial" w:cs="Arial"/>
          <w:color w:val="000000" w:themeColor="text1"/>
          <w:sz w:val="22"/>
          <w:szCs w:val="22"/>
        </w:rPr>
        <w:t xml:space="preserve">Recent data published by the DfE confirms there were </w:t>
      </w:r>
      <w:r w:rsidR="1EC82318" w:rsidRPr="78C3123E">
        <w:rPr>
          <w:rFonts w:eastAsia="Arial" w:cs="Arial"/>
          <w:color w:val="000000" w:themeColor="text1"/>
          <w:sz w:val="22"/>
          <w:szCs w:val="22"/>
        </w:rPr>
        <w:t>162</w:t>
      </w:r>
      <w:r w:rsidR="253E917D" w:rsidRPr="78C3123E">
        <w:rPr>
          <w:rFonts w:eastAsia="Arial" w:cs="Arial"/>
          <w:color w:val="000000" w:themeColor="text1"/>
          <w:sz w:val="22"/>
          <w:szCs w:val="22"/>
        </w:rPr>
        <w:t xml:space="preserve"> </w:t>
      </w:r>
      <w:r w:rsidRPr="78C3123E">
        <w:rPr>
          <w:rFonts w:eastAsia="Arial" w:cs="Arial"/>
          <w:color w:val="000000" w:themeColor="text1"/>
          <w:sz w:val="22"/>
          <w:szCs w:val="22"/>
        </w:rPr>
        <w:t>permanent exclusions during 201</w:t>
      </w:r>
      <w:r w:rsidR="2E85B86C" w:rsidRPr="78C3123E">
        <w:rPr>
          <w:rFonts w:eastAsia="Arial" w:cs="Arial"/>
          <w:color w:val="000000" w:themeColor="text1"/>
          <w:sz w:val="22"/>
          <w:szCs w:val="22"/>
        </w:rPr>
        <w:t>9</w:t>
      </w:r>
      <w:r w:rsidRPr="78C3123E">
        <w:rPr>
          <w:rFonts w:eastAsia="Arial" w:cs="Arial"/>
          <w:color w:val="000000" w:themeColor="text1"/>
          <w:sz w:val="22"/>
          <w:szCs w:val="22"/>
        </w:rPr>
        <w:t>/</w:t>
      </w:r>
      <w:r w:rsidR="7378C76D" w:rsidRPr="78C3123E">
        <w:rPr>
          <w:rFonts w:eastAsia="Arial" w:cs="Arial"/>
          <w:color w:val="000000" w:themeColor="text1"/>
          <w:sz w:val="22"/>
          <w:szCs w:val="22"/>
        </w:rPr>
        <w:t>20</w:t>
      </w:r>
      <w:r w:rsidRPr="78C3123E">
        <w:rPr>
          <w:rFonts w:eastAsia="Arial" w:cs="Arial"/>
          <w:color w:val="000000" w:themeColor="text1"/>
          <w:sz w:val="22"/>
          <w:szCs w:val="22"/>
        </w:rPr>
        <w:t xml:space="preserve"> period in Lancashire schools. This equates to a rate of 0.</w:t>
      </w:r>
      <w:r w:rsidR="471D30F8" w:rsidRPr="78C3123E">
        <w:rPr>
          <w:rFonts w:eastAsia="Arial" w:cs="Arial"/>
          <w:color w:val="000000" w:themeColor="text1"/>
          <w:sz w:val="22"/>
          <w:szCs w:val="22"/>
        </w:rPr>
        <w:t>0</w:t>
      </w:r>
      <w:r w:rsidRPr="78C3123E">
        <w:rPr>
          <w:rFonts w:eastAsia="Arial" w:cs="Arial"/>
          <w:color w:val="000000" w:themeColor="text1"/>
          <w:sz w:val="22"/>
          <w:szCs w:val="22"/>
        </w:rPr>
        <w:t xml:space="preserve">9% and is a </w:t>
      </w:r>
      <w:r w:rsidR="5F298046" w:rsidRPr="78C3123E">
        <w:rPr>
          <w:rFonts w:eastAsia="Arial" w:cs="Arial"/>
          <w:color w:val="000000" w:themeColor="text1"/>
          <w:sz w:val="22"/>
          <w:szCs w:val="22"/>
        </w:rPr>
        <w:t>significant decrease</w:t>
      </w:r>
      <w:r w:rsidRPr="78C3123E">
        <w:rPr>
          <w:rFonts w:eastAsia="Arial" w:cs="Arial"/>
          <w:color w:val="000000" w:themeColor="text1"/>
          <w:sz w:val="22"/>
          <w:szCs w:val="22"/>
        </w:rPr>
        <w:t xml:space="preserve"> on 201</w:t>
      </w:r>
      <w:r w:rsidR="1F8576D7" w:rsidRPr="78C3123E">
        <w:rPr>
          <w:rFonts w:eastAsia="Arial" w:cs="Arial"/>
          <w:color w:val="000000" w:themeColor="text1"/>
          <w:sz w:val="22"/>
          <w:szCs w:val="22"/>
        </w:rPr>
        <w:t>8</w:t>
      </w:r>
      <w:r w:rsidRPr="78C3123E">
        <w:rPr>
          <w:rFonts w:eastAsia="Arial" w:cs="Arial"/>
          <w:color w:val="000000" w:themeColor="text1"/>
          <w:sz w:val="22"/>
          <w:szCs w:val="22"/>
        </w:rPr>
        <w:t>/1</w:t>
      </w:r>
      <w:r w:rsidR="59D0F58A" w:rsidRPr="78C3123E">
        <w:rPr>
          <w:rFonts w:eastAsia="Arial" w:cs="Arial"/>
          <w:color w:val="000000" w:themeColor="text1"/>
          <w:sz w:val="22"/>
          <w:szCs w:val="22"/>
        </w:rPr>
        <w:t>9</w:t>
      </w:r>
      <w:r w:rsidRPr="78C3123E">
        <w:rPr>
          <w:rFonts w:eastAsia="Arial" w:cs="Arial"/>
          <w:color w:val="000000" w:themeColor="text1"/>
          <w:sz w:val="22"/>
          <w:szCs w:val="22"/>
        </w:rPr>
        <w:t xml:space="preserve"> (0.1</w:t>
      </w:r>
      <w:r w:rsidR="1DC4DD6F" w:rsidRPr="78C3123E">
        <w:rPr>
          <w:rFonts w:eastAsia="Arial" w:cs="Arial"/>
          <w:color w:val="000000" w:themeColor="text1"/>
          <w:sz w:val="22"/>
          <w:szCs w:val="22"/>
        </w:rPr>
        <w:t>9</w:t>
      </w:r>
      <w:r w:rsidRPr="78C3123E">
        <w:rPr>
          <w:rFonts w:eastAsia="Arial" w:cs="Arial"/>
          <w:color w:val="000000" w:themeColor="text1"/>
          <w:sz w:val="22"/>
          <w:szCs w:val="22"/>
        </w:rPr>
        <w:t>% or 32</w:t>
      </w:r>
      <w:r w:rsidR="72C3D6EA" w:rsidRPr="78C3123E">
        <w:rPr>
          <w:rFonts w:eastAsia="Arial" w:cs="Arial"/>
          <w:color w:val="000000" w:themeColor="text1"/>
          <w:sz w:val="22"/>
          <w:szCs w:val="22"/>
        </w:rPr>
        <w:t>9</w:t>
      </w:r>
      <w:r w:rsidRPr="78C3123E">
        <w:rPr>
          <w:rFonts w:eastAsia="Arial" w:cs="Arial"/>
          <w:color w:val="000000" w:themeColor="text1"/>
          <w:sz w:val="22"/>
          <w:szCs w:val="22"/>
        </w:rPr>
        <w:t xml:space="preserve"> exclusions) and was </w:t>
      </w:r>
      <w:r w:rsidR="48CF2DA6" w:rsidRPr="78C3123E">
        <w:rPr>
          <w:rFonts w:eastAsia="Arial" w:cs="Arial"/>
          <w:color w:val="000000" w:themeColor="text1"/>
          <w:sz w:val="22"/>
          <w:szCs w:val="22"/>
        </w:rPr>
        <w:t xml:space="preserve">slightly </w:t>
      </w:r>
      <w:r w:rsidRPr="78C3123E">
        <w:rPr>
          <w:rFonts w:eastAsia="Arial" w:cs="Arial"/>
          <w:color w:val="000000" w:themeColor="text1"/>
          <w:sz w:val="22"/>
          <w:szCs w:val="22"/>
        </w:rPr>
        <w:t>above the national (0.0</w:t>
      </w:r>
      <w:r w:rsidR="7A915159" w:rsidRPr="78C3123E">
        <w:rPr>
          <w:rFonts w:eastAsia="Arial" w:cs="Arial"/>
          <w:color w:val="000000" w:themeColor="text1"/>
          <w:sz w:val="22"/>
          <w:szCs w:val="22"/>
        </w:rPr>
        <w:t>6</w:t>
      </w:r>
      <w:r w:rsidRPr="78C3123E">
        <w:rPr>
          <w:rFonts w:eastAsia="Arial" w:cs="Arial"/>
          <w:color w:val="000000" w:themeColor="text1"/>
          <w:sz w:val="22"/>
          <w:szCs w:val="22"/>
        </w:rPr>
        <w:t>%) and regional rates (0.</w:t>
      </w:r>
      <w:r w:rsidR="36B6476B" w:rsidRPr="78C3123E">
        <w:rPr>
          <w:rFonts w:eastAsia="Arial" w:cs="Arial"/>
          <w:color w:val="000000" w:themeColor="text1"/>
          <w:sz w:val="22"/>
          <w:szCs w:val="22"/>
        </w:rPr>
        <w:t>08</w:t>
      </w:r>
      <w:r w:rsidRPr="78C3123E">
        <w:rPr>
          <w:rFonts w:eastAsia="Arial" w:cs="Arial"/>
          <w:color w:val="000000" w:themeColor="text1"/>
          <w:sz w:val="22"/>
          <w:szCs w:val="22"/>
        </w:rPr>
        <w:t xml:space="preserve">%).  The </w:t>
      </w:r>
      <w:r w:rsidR="41939096" w:rsidRPr="78C3123E">
        <w:rPr>
          <w:rFonts w:eastAsia="Arial" w:cs="Arial"/>
          <w:color w:val="000000" w:themeColor="text1"/>
          <w:sz w:val="22"/>
          <w:szCs w:val="22"/>
        </w:rPr>
        <w:t>2019/20</w:t>
      </w:r>
      <w:r w:rsidRPr="78C3123E">
        <w:rPr>
          <w:rFonts w:eastAsia="Arial" w:cs="Arial"/>
          <w:color w:val="000000" w:themeColor="text1"/>
          <w:sz w:val="22"/>
          <w:szCs w:val="22"/>
        </w:rPr>
        <w:t xml:space="preserve"> data should be treated with caution as </w:t>
      </w:r>
      <w:r w:rsidR="797192D5" w:rsidRPr="78C3123E">
        <w:rPr>
          <w:rFonts w:eastAsia="Arial" w:cs="Arial"/>
          <w:color w:val="000000" w:themeColor="text1"/>
          <w:sz w:val="22"/>
          <w:szCs w:val="22"/>
        </w:rPr>
        <w:t xml:space="preserve">it was interrupted by with the first national lockdown on 23 March 2020, during the spring term. Schools remained open for vulnerable children and children of key workers. While permanent exclusions and </w:t>
      </w:r>
      <w:r w:rsidR="797192D5" w:rsidRPr="78C3123E">
        <w:rPr>
          <w:rFonts w:eastAsia="Arial" w:cs="Arial"/>
          <w:color w:val="000000" w:themeColor="text1"/>
          <w:sz w:val="22"/>
          <w:szCs w:val="22"/>
        </w:rPr>
        <w:lastRenderedPageBreak/>
        <w:t>suspensions were still possible throughout the academic year, school closures have had a substantial effect on the number of permanent exclusions and suspension and therefore caution should be taken when comparing figures across years.</w:t>
      </w:r>
    </w:p>
    <w:p w14:paraId="11B933E3" w14:textId="7B189275" w:rsidR="0909ACEA" w:rsidRDefault="00AF55DE" w:rsidP="62385CB5">
      <w:pPr>
        <w:rPr>
          <w:sz w:val="22"/>
          <w:szCs w:val="22"/>
          <w:lang w:eastAsia="en-GB"/>
        </w:rPr>
      </w:pPr>
      <w:r w:rsidRPr="62385CB5">
        <w:rPr>
          <w:sz w:val="22"/>
          <w:szCs w:val="22"/>
          <w:lang w:eastAsia="en-GB"/>
        </w:rPr>
        <w:t>Addressing exclusions and their c</w:t>
      </w:r>
      <w:r w:rsidRPr="62385CB5">
        <w:rPr>
          <w:sz w:val="22"/>
          <w:szCs w:val="22"/>
          <w:lang w:eastAsia="en-GB"/>
        </w:rPr>
        <w:t xml:space="preserve">auses </w:t>
      </w:r>
      <w:r w:rsidR="17135B91" w:rsidRPr="62385CB5">
        <w:rPr>
          <w:sz w:val="22"/>
          <w:szCs w:val="22"/>
          <w:lang w:eastAsia="en-GB"/>
        </w:rPr>
        <w:t xml:space="preserve">is an ongoing focus for the service and is one of 5 priorities in the draft Education Strategy that will be presented </w:t>
      </w:r>
      <w:r w:rsidR="2224366A" w:rsidRPr="62385CB5">
        <w:rPr>
          <w:sz w:val="22"/>
          <w:szCs w:val="22"/>
          <w:lang w:eastAsia="en-GB"/>
        </w:rPr>
        <w:t>t</w:t>
      </w:r>
      <w:r w:rsidR="17135B91" w:rsidRPr="62385CB5">
        <w:rPr>
          <w:sz w:val="22"/>
          <w:szCs w:val="22"/>
          <w:lang w:eastAsia="en-GB"/>
        </w:rPr>
        <w:t>o cabinet for ratification in December 2021. Where exclusion rates are high, schools are challenged and although directives are seen as a last resort, some schools have been directed to take pupils where there is a need to. Locality level data dashboards have been created to interrogate the rates of exclusions across the county so that patterns and trends are identified and addressed.</w:t>
      </w:r>
    </w:p>
    <w:p w14:paraId="2BE8A512" w14:textId="77777777" w:rsidR="00E6645E" w:rsidRPr="00E6645E" w:rsidRDefault="00E6645E" w:rsidP="00931587">
      <w:pPr>
        <w:rPr>
          <w:sz w:val="22"/>
          <w:szCs w:val="22"/>
          <w:lang w:eastAsia="en-GB"/>
        </w:rPr>
      </w:pPr>
    </w:p>
    <w:tbl>
      <w:tblPr>
        <w:tblW w:w="141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470"/>
        <w:gridCol w:w="1575"/>
        <w:gridCol w:w="1078"/>
        <w:gridCol w:w="1470"/>
        <w:gridCol w:w="1590"/>
        <w:gridCol w:w="1500"/>
        <w:gridCol w:w="1845"/>
        <w:gridCol w:w="1349"/>
      </w:tblGrid>
      <w:tr w:rsidR="00BB349C" w14:paraId="6EC062A0" w14:textId="77777777" w:rsidTr="78C3123E">
        <w:trPr>
          <w:trHeight w:val="433"/>
        </w:trPr>
        <w:tc>
          <w:tcPr>
            <w:tcW w:w="2265" w:type="dxa"/>
            <w:tcBorders>
              <w:top w:val="single" w:sz="4" w:space="0" w:color="auto"/>
              <w:left w:val="single" w:sz="4" w:space="0" w:color="auto"/>
              <w:bottom w:val="single" w:sz="4" w:space="0" w:color="auto"/>
              <w:right w:val="single" w:sz="4" w:space="0" w:color="auto"/>
            </w:tcBorders>
          </w:tcPr>
          <w:p w14:paraId="06451EF4" w14:textId="5ACC34A6" w:rsidR="0CF1EE9E" w:rsidRDefault="00AF55DE" w:rsidP="0CF1EE9E">
            <w:pPr>
              <w:pStyle w:val="NoSpacing"/>
              <w:rPr>
                <w:rFonts w:ascii="Arial" w:hAnsi="Arial" w:cs="Arial"/>
                <w:b/>
                <w:bCs/>
              </w:rPr>
            </w:pPr>
            <w:r w:rsidRPr="0CF1EE9E">
              <w:rPr>
                <w:rFonts w:ascii="Arial" w:hAnsi="Arial" w:cs="Arial"/>
                <w:b/>
                <w:bCs/>
                <w:sz w:val="20"/>
                <w:szCs w:val="20"/>
              </w:rPr>
              <w:t>Performance Indicator</w:t>
            </w:r>
          </w:p>
        </w:tc>
        <w:tc>
          <w:tcPr>
            <w:tcW w:w="1470" w:type="dxa"/>
            <w:tcBorders>
              <w:top w:val="single" w:sz="4" w:space="0" w:color="auto"/>
              <w:left w:val="single" w:sz="4" w:space="0" w:color="auto"/>
              <w:bottom w:val="single" w:sz="4" w:space="0" w:color="auto"/>
              <w:right w:val="single" w:sz="4" w:space="0" w:color="auto"/>
            </w:tcBorders>
          </w:tcPr>
          <w:p w14:paraId="140C73A4" w14:textId="6EDA3C6F" w:rsidR="0CF1EE9E" w:rsidRDefault="00AF55DE" w:rsidP="0CF1EE9E">
            <w:pPr>
              <w:pStyle w:val="NoSpacing"/>
              <w:rPr>
                <w:rFonts w:ascii="Arial" w:hAnsi="Arial" w:cs="Arial"/>
                <w:b/>
                <w:bCs/>
              </w:rPr>
            </w:pPr>
            <w:r w:rsidRPr="0CF1EE9E">
              <w:rPr>
                <w:rFonts w:ascii="Arial" w:hAnsi="Arial" w:cs="Arial"/>
                <w:b/>
                <w:bCs/>
                <w:sz w:val="20"/>
                <w:szCs w:val="20"/>
              </w:rPr>
              <w:t>Frequency</w:t>
            </w:r>
          </w:p>
        </w:tc>
        <w:tc>
          <w:tcPr>
            <w:tcW w:w="1575" w:type="dxa"/>
            <w:tcBorders>
              <w:top w:val="single" w:sz="4" w:space="0" w:color="auto"/>
              <w:left w:val="single" w:sz="4" w:space="0" w:color="auto"/>
              <w:bottom w:val="single" w:sz="4" w:space="0" w:color="auto"/>
              <w:right w:val="single" w:sz="4" w:space="0" w:color="auto"/>
            </w:tcBorders>
          </w:tcPr>
          <w:p w14:paraId="7D7386A5" w14:textId="43C7631F" w:rsidR="0CF1EE9E" w:rsidRDefault="00AF55DE" w:rsidP="0CF1EE9E">
            <w:pPr>
              <w:pStyle w:val="NoSpacing"/>
              <w:rPr>
                <w:rFonts w:ascii="Arial" w:hAnsi="Arial" w:cs="Arial"/>
                <w:b/>
                <w:bCs/>
              </w:rPr>
            </w:pPr>
            <w:r w:rsidRPr="0CF1EE9E">
              <w:rPr>
                <w:rFonts w:ascii="Arial" w:hAnsi="Arial" w:cs="Arial"/>
                <w:b/>
                <w:bCs/>
                <w:sz w:val="20"/>
                <w:szCs w:val="20"/>
              </w:rPr>
              <w:t xml:space="preserve">Directorate </w:t>
            </w:r>
          </w:p>
        </w:tc>
        <w:tc>
          <w:tcPr>
            <w:tcW w:w="1078" w:type="dxa"/>
            <w:tcBorders>
              <w:top w:val="single" w:sz="4" w:space="0" w:color="auto"/>
              <w:left w:val="single" w:sz="4" w:space="0" w:color="auto"/>
              <w:bottom w:val="single" w:sz="4" w:space="0" w:color="auto"/>
              <w:right w:val="single" w:sz="4" w:space="0" w:color="auto"/>
            </w:tcBorders>
          </w:tcPr>
          <w:p w14:paraId="10B99322" w14:textId="520EF36F" w:rsidR="0CF1EE9E" w:rsidRDefault="00AF55DE" w:rsidP="0CF1EE9E">
            <w:pPr>
              <w:pStyle w:val="NoSpacing"/>
              <w:rPr>
                <w:rFonts w:ascii="Arial" w:hAnsi="Arial" w:cs="Arial"/>
                <w:b/>
                <w:bCs/>
              </w:rPr>
            </w:pPr>
            <w:r w:rsidRPr="0CF1EE9E">
              <w:rPr>
                <w:rFonts w:ascii="Arial" w:hAnsi="Arial" w:cs="Arial"/>
                <w:b/>
                <w:bCs/>
                <w:sz w:val="20"/>
                <w:szCs w:val="20"/>
              </w:rPr>
              <w:t>Good is</w:t>
            </w: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03DAB628" w14:textId="1CBBECBF" w:rsidR="0CF1EE9E" w:rsidRDefault="00AF55DE" w:rsidP="0CF1EE9E">
            <w:pPr>
              <w:pStyle w:val="NoSpacing"/>
              <w:rPr>
                <w:rFonts w:ascii="Arial" w:hAnsi="Arial" w:cs="Arial"/>
                <w:b/>
                <w:bCs/>
              </w:rPr>
            </w:pPr>
            <w:r w:rsidRPr="0CF1EE9E">
              <w:rPr>
                <w:rFonts w:ascii="Arial" w:hAnsi="Arial" w:cs="Arial"/>
                <w:b/>
                <w:bCs/>
                <w:sz w:val="20"/>
                <w:szCs w:val="20"/>
              </w:rPr>
              <w:t>2019/20 Outturn</w:t>
            </w:r>
          </w:p>
        </w:tc>
        <w:tc>
          <w:tcPr>
            <w:tcW w:w="1590" w:type="dxa"/>
            <w:tcBorders>
              <w:top w:val="single" w:sz="4" w:space="0" w:color="auto"/>
              <w:left w:val="single" w:sz="4" w:space="0" w:color="auto"/>
              <w:bottom w:val="single" w:sz="4" w:space="0" w:color="auto"/>
              <w:right w:val="single" w:sz="4" w:space="0" w:color="auto"/>
            </w:tcBorders>
          </w:tcPr>
          <w:p w14:paraId="475E6E98" w14:textId="6A11BA1F" w:rsidR="62385CB5" w:rsidRDefault="00AF55DE" w:rsidP="62385CB5">
            <w:pPr>
              <w:pStyle w:val="NoSpacing"/>
              <w:jc w:val="center"/>
              <w:rPr>
                <w:rFonts w:ascii="Arial" w:hAnsi="Arial" w:cs="Arial"/>
                <w:b/>
                <w:bCs/>
                <w:sz w:val="20"/>
                <w:szCs w:val="20"/>
              </w:rPr>
            </w:pPr>
            <w:r w:rsidRPr="62385CB5">
              <w:rPr>
                <w:rFonts w:ascii="Arial" w:hAnsi="Arial" w:cs="Arial"/>
                <w:b/>
                <w:bCs/>
                <w:sz w:val="20"/>
                <w:szCs w:val="20"/>
              </w:rPr>
              <w:t>2020/21 Outturn</w:t>
            </w:r>
          </w:p>
        </w:tc>
        <w:tc>
          <w:tcPr>
            <w:tcW w:w="1500" w:type="dxa"/>
            <w:tcBorders>
              <w:top w:val="single" w:sz="4" w:space="0" w:color="auto"/>
              <w:left w:val="single" w:sz="4" w:space="0" w:color="auto"/>
              <w:bottom w:val="single" w:sz="4" w:space="0" w:color="auto"/>
              <w:right w:val="single" w:sz="4" w:space="0" w:color="auto"/>
            </w:tcBorders>
          </w:tcPr>
          <w:p w14:paraId="5FEEA67B" w14:textId="6684B6AF" w:rsidR="62385CB5" w:rsidRDefault="00AF55DE" w:rsidP="62385CB5">
            <w:pPr>
              <w:pStyle w:val="NoSpacing"/>
              <w:jc w:val="center"/>
              <w:rPr>
                <w:rFonts w:ascii="Arial" w:hAnsi="Arial" w:cs="Arial"/>
                <w:b/>
                <w:bCs/>
              </w:rPr>
            </w:pPr>
            <w:r w:rsidRPr="62385CB5">
              <w:rPr>
                <w:rFonts w:ascii="Arial" w:hAnsi="Arial" w:cs="Arial"/>
                <w:b/>
                <w:bCs/>
                <w:sz w:val="20"/>
                <w:szCs w:val="20"/>
              </w:rPr>
              <w:t xml:space="preserve">2020/21 Quarter 1 </w:t>
            </w:r>
            <w:r w:rsidRPr="62385CB5">
              <w:rPr>
                <w:rFonts w:ascii="Arial" w:hAnsi="Arial" w:cs="Arial"/>
                <w:b/>
                <w:bCs/>
                <w:sz w:val="18"/>
                <w:szCs w:val="18"/>
              </w:rPr>
              <w:t>(April –June)</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14F86E8" w14:textId="1F21F2B4" w:rsidR="62385CB5" w:rsidRDefault="00AF55DE" w:rsidP="78C3123E">
            <w:pPr>
              <w:pStyle w:val="NoSpacing"/>
              <w:jc w:val="center"/>
              <w:rPr>
                <w:rFonts w:ascii="Arial" w:hAnsi="Arial" w:cs="Arial"/>
                <w:b/>
                <w:bCs/>
                <w:sz w:val="20"/>
                <w:szCs w:val="20"/>
              </w:rPr>
            </w:pPr>
            <w:r w:rsidRPr="78C3123E">
              <w:rPr>
                <w:rFonts w:ascii="Arial" w:hAnsi="Arial" w:cs="Arial"/>
                <w:b/>
                <w:bCs/>
                <w:sz w:val="20"/>
                <w:szCs w:val="20"/>
              </w:rPr>
              <w:t>2021/22   Quarter 1</w:t>
            </w:r>
            <w:r w:rsidR="28EE0A5E" w:rsidRPr="78C3123E">
              <w:rPr>
                <w:rFonts w:ascii="Arial" w:hAnsi="Arial" w:cs="Arial"/>
                <w:b/>
                <w:bCs/>
                <w:sz w:val="20"/>
                <w:szCs w:val="20"/>
              </w:rPr>
              <w:t xml:space="preserve"> </w:t>
            </w:r>
          </w:p>
          <w:p w14:paraId="5DDBA632" w14:textId="07CA5293" w:rsidR="62385CB5" w:rsidRDefault="00AF55DE" w:rsidP="62385CB5">
            <w:pPr>
              <w:pStyle w:val="NoSpacing"/>
              <w:jc w:val="center"/>
              <w:rPr>
                <w:rFonts w:ascii="Arial" w:hAnsi="Arial" w:cs="Arial"/>
                <w:b/>
                <w:bCs/>
                <w:sz w:val="20"/>
                <w:szCs w:val="20"/>
              </w:rPr>
            </w:pPr>
            <w:r w:rsidRPr="78C3123E">
              <w:rPr>
                <w:rFonts w:ascii="Arial" w:hAnsi="Arial" w:cs="Arial"/>
                <w:b/>
                <w:bCs/>
                <w:sz w:val="20"/>
                <w:szCs w:val="20"/>
              </w:rPr>
              <w:t xml:space="preserve"> </w:t>
            </w:r>
            <w:r w:rsidRPr="78C3123E">
              <w:rPr>
                <w:rFonts w:ascii="Arial" w:hAnsi="Arial" w:cs="Arial"/>
                <w:b/>
                <w:bCs/>
                <w:sz w:val="18"/>
                <w:szCs w:val="18"/>
              </w:rPr>
              <w:t>(April- June)</w:t>
            </w:r>
          </w:p>
          <w:p w14:paraId="71E85A37" w14:textId="49B6D23F" w:rsidR="62385CB5" w:rsidRDefault="62385CB5" w:rsidP="62385CB5">
            <w:pPr>
              <w:pStyle w:val="NoSpacing"/>
              <w:jc w:val="center"/>
              <w:rPr>
                <w:b/>
                <w:bCs/>
                <w:sz w:val="20"/>
                <w:szCs w:val="20"/>
              </w:rPr>
            </w:pPr>
          </w:p>
        </w:tc>
        <w:tc>
          <w:tcPr>
            <w:tcW w:w="1349" w:type="dxa"/>
            <w:tcBorders>
              <w:top w:val="single" w:sz="4" w:space="0" w:color="auto"/>
              <w:left w:val="single" w:sz="4" w:space="0" w:color="auto"/>
              <w:bottom w:val="single" w:sz="4" w:space="0" w:color="auto"/>
              <w:right w:val="single" w:sz="4" w:space="0" w:color="auto"/>
            </w:tcBorders>
          </w:tcPr>
          <w:p w14:paraId="30F50F5E" w14:textId="1F33293A" w:rsidR="62385CB5" w:rsidRDefault="00AF55DE" w:rsidP="62385CB5">
            <w:pPr>
              <w:pStyle w:val="NoSpacing"/>
              <w:jc w:val="center"/>
              <w:rPr>
                <w:rFonts w:ascii="Arial" w:hAnsi="Arial" w:cs="Arial"/>
                <w:b/>
                <w:bCs/>
              </w:rPr>
            </w:pPr>
            <w:r w:rsidRPr="62385CB5">
              <w:rPr>
                <w:rFonts w:ascii="Arial" w:hAnsi="Arial" w:cs="Arial"/>
                <w:b/>
                <w:bCs/>
                <w:sz w:val="20"/>
                <w:szCs w:val="20"/>
              </w:rPr>
              <w:t>2021/22 Target</w:t>
            </w:r>
          </w:p>
        </w:tc>
      </w:tr>
      <w:tr w:rsidR="00BB349C" w14:paraId="3A355B13" w14:textId="77777777" w:rsidTr="78C3123E">
        <w:trPr>
          <w:trHeight w:val="993"/>
        </w:trPr>
        <w:tc>
          <w:tcPr>
            <w:tcW w:w="2265" w:type="dxa"/>
            <w:tcBorders>
              <w:top w:val="single" w:sz="4" w:space="0" w:color="auto"/>
              <w:left w:val="single" w:sz="4" w:space="0" w:color="auto"/>
              <w:bottom w:val="single" w:sz="4" w:space="0" w:color="auto"/>
              <w:right w:val="single" w:sz="4" w:space="0" w:color="auto"/>
            </w:tcBorders>
          </w:tcPr>
          <w:p w14:paraId="65948EDB" w14:textId="77777777" w:rsidR="005F2EB2" w:rsidRPr="0060756D" w:rsidRDefault="00AF55DE" w:rsidP="005F2EB2">
            <w:pPr>
              <w:pStyle w:val="NoSpacing"/>
              <w:rPr>
                <w:rFonts w:ascii="Arial" w:hAnsi="Arial" w:cs="Arial"/>
              </w:rPr>
            </w:pPr>
            <w:r w:rsidRPr="0CF1EE9E">
              <w:rPr>
                <w:rFonts w:ascii="Arial" w:hAnsi="Arial" w:cs="Arial"/>
              </w:rPr>
              <w:t>Percentage of adults with learning disabilities in employment</w:t>
            </w:r>
          </w:p>
        </w:tc>
        <w:tc>
          <w:tcPr>
            <w:tcW w:w="1470" w:type="dxa"/>
            <w:tcBorders>
              <w:top w:val="single" w:sz="4" w:space="0" w:color="auto"/>
              <w:left w:val="single" w:sz="4" w:space="0" w:color="auto"/>
              <w:bottom w:val="single" w:sz="4" w:space="0" w:color="auto"/>
              <w:right w:val="single" w:sz="4" w:space="0" w:color="auto"/>
            </w:tcBorders>
          </w:tcPr>
          <w:p w14:paraId="0F3955C8" w14:textId="77777777" w:rsidR="005F2EB2" w:rsidRPr="0060756D" w:rsidRDefault="00AF55DE" w:rsidP="005F2EB2">
            <w:pPr>
              <w:pStyle w:val="NoSpacing"/>
              <w:rPr>
                <w:rFonts w:ascii="Arial" w:hAnsi="Arial" w:cs="Arial"/>
              </w:rPr>
            </w:pPr>
            <w:r w:rsidRPr="0060756D">
              <w:rPr>
                <w:rFonts w:ascii="Arial" w:hAnsi="Arial" w:cs="Arial"/>
              </w:rPr>
              <w:t>Quarterly</w:t>
            </w:r>
          </w:p>
        </w:tc>
        <w:tc>
          <w:tcPr>
            <w:tcW w:w="1575" w:type="dxa"/>
            <w:tcBorders>
              <w:top w:val="single" w:sz="4" w:space="0" w:color="auto"/>
              <w:left w:val="single" w:sz="4" w:space="0" w:color="auto"/>
              <w:bottom w:val="single" w:sz="4" w:space="0" w:color="auto"/>
              <w:right w:val="single" w:sz="4" w:space="0" w:color="auto"/>
            </w:tcBorders>
          </w:tcPr>
          <w:p w14:paraId="259C948D" w14:textId="77777777" w:rsidR="005F2EB2" w:rsidRPr="0060756D" w:rsidRDefault="00AF55DE" w:rsidP="005F2EB2">
            <w:pPr>
              <w:pStyle w:val="NoSpacing"/>
              <w:rPr>
                <w:rFonts w:ascii="Arial" w:hAnsi="Arial" w:cs="Arial"/>
              </w:rPr>
            </w:pPr>
            <w:r w:rsidRPr="0060756D">
              <w:rPr>
                <w:rFonts w:ascii="Arial" w:hAnsi="Arial" w:cs="Arial"/>
              </w:rPr>
              <w:t xml:space="preserve">Adults </w:t>
            </w:r>
            <w:r w:rsidRPr="0060756D">
              <w:rPr>
                <w:rFonts w:ascii="Arial" w:hAnsi="Arial" w:cs="Arial"/>
              </w:rPr>
              <w:t>Services and Health and Wellbeing</w:t>
            </w:r>
          </w:p>
        </w:tc>
        <w:tc>
          <w:tcPr>
            <w:tcW w:w="1078" w:type="dxa"/>
            <w:tcBorders>
              <w:top w:val="single" w:sz="4" w:space="0" w:color="auto"/>
              <w:left w:val="single" w:sz="4" w:space="0" w:color="auto"/>
              <w:bottom w:val="single" w:sz="4" w:space="0" w:color="auto"/>
              <w:right w:val="single" w:sz="4" w:space="0" w:color="auto"/>
            </w:tcBorders>
          </w:tcPr>
          <w:p w14:paraId="02FBB639" w14:textId="77777777" w:rsidR="005F2EB2" w:rsidRPr="0060756D" w:rsidRDefault="00AF55DE" w:rsidP="005F2EB2">
            <w:pPr>
              <w:pStyle w:val="NoSpacing"/>
              <w:rPr>
                <w:rFonts w:ascii="Arial" w:hAnsi="Arial" w:cs="Arial"/>
              </w:rPr>
            </w:pPr>
            <w:r w:rsidRPr="0060756D">
              <w:rPr>
                <w:rFonts w:ascii="Arial" w:hAnsi="Arial" w:cs="Arial"/>
              </w:rPr>
              <w:t>High</w:t>
            </w:r>
          </w:p>
        </w:tc>
        <w:tc>
          <w:tcPr>
            <w:tcW w:w="1470" w:type="dxa"/>
            <w:tcBorders>
              <w:top w:val="single" w:sz="4" w:space="0" w:color="auto"/>
              <w:left w:val="single" w:sz="4" w:space="0" w:color="auto"/>
              <w:bottom w:val="single" w:sz="4" w:space="0" w:color="auto"/>
              <w:right w:val="single" w:sz="4" w:space="0" w:color="auto"/>
            </w:tcBorders>
            <w:shd w:val="clear" w:color="auto" w:fill="FF0000"/>
          </w:tcPr>
          <w:p w14:paraId="12079158" w14:textId="77777777" w:rsidR="005F2EB2" w:rsidRPr="0060756D" w:rsidRDefault="00AF55DE" w:rsidP="78C3123E">
            <w:pPr>
              <w:pStyle w:val="NoSpacing"/>
              <w:jc w:val="center"/>
              <w:rPr>
                <w:rFonts w:ascii="Arial" w:hAnsi="Arial" w:cs="Arial"/>
                <w:color w:val="FFFFFF" w:themeColor="background1"/>
              </w:rPr>
            </w:pPr>
            <w:r w:rsidRPr="78C3123E">
              <w:rPr>
                <w:rFonts w:ascii="Arial" w:hAnsi="Arial" w:cs="Arial"/>
                <w:color w:val="FFFFFF" w:themeColor="background1"/>
              </w:rPr>
              <w:t>2.02%</w:t>
            </w:r>
          </w:p>
        </w:tc>
        <w:tc>
          <w:tcPr>
            <w:tcW w:w="1590" w:type="dxa"/>
            <w:tcBorders>
              <w:top w:val="single" w:sz="4" w:space="0" w:color="auto"/>
              <w:left w:val="single" w:sz="4" w:space="0" w:color="auto"/>
              <w:bottom w:val="single" w:sz="4" w:space="0" w:color="auto"/>
              <w:right w:val="single" w:sz="4" w:space="0" w:color="auto"/>
            </w:tcBorders>
            <w:shd w:val="clear" w:color="auto" w:fill="FF0000"/>
          </w:tcPr>
          <w:p w14:paraId="475F95FD" w14:textId="2B19C8FB" w:rsidR="005F2EB2" w:rsidRPr="0060756D" w:rsidRDefault="00AF55DE" w:rsidP="78C3123E">
            <w:pPr>
              <w:pStyle w:val="NoSpacing"/>
              <w:jc w:val="center"/>
              <w:rPr>
                <w:rFonts w:ascii="Arial" w:hAnsi="Arial" w:cs="Arial"/>
                <w:color w:val="FFFFFF" w:themeColor="background1"/>
              </w:rPr>
            </w:pPr>
            <w:r w:rsidRPr="78C3123E">
              <w:rPr>
                <w:rFonts w:ascii="Arial" w:hAnsi="Arial" w:cs="Arial"/>
                <w:color w:val="FFFFFF" w:themeColor="background1"/>
              </w:rPr>
              <w:t>2.3</w:t>
            </w:r>
            <w:r w:rsidR="6E43F311" w:rsidRPr="78C3123E">
              <w:rPr>
                <w:rFonts w:ascii="Arial" w:hAnsi="Arial" w:cs="Arial"/>
                <w:color w:val="FFFFFF" w:themeColor="background1"/>
              </w:rPr>
              <w:t>%</w:t>
            </w:r>
          </w:p>
        </w:tc>
        <w:tc>
          <w:tcPr>
            <w:tcW w:w="1500" w:type="dxa"/>
            <w:tcBorders>
              <w:top w:val="single" w:sz="4" w:space="0" w:color="auto"/>
              <w:left w:val="single" w:sz="4" w:space="0" w:color="auto"/>
              <w:bottom w:val="single" w:sz="4" w:space="0" w:color="auto"/>
              <w:right w:val="single" w:sz="4" w:space="0" w:color="auto"/>
            </w:tcBorders>
            <w:shd w:val="clear" w:color="auto" w:fill="FF0000"/>
          </w:tcPr>
          <w:p w14:paraId="3909ED84" w14:textId="1A78BF28" w:rsidR="005F2EB2" w:rsidRPr="0060756D" w:rsidRDefault="00AF55DE" w:rsidP="78C3123E">
            <w:pPr>
              <w:pStyle w:val="NoSpacing"/>
              <w:jc w:val="center"/>
              <w:rPr>
                <w:rFonts w:ascii="Arial" w:hAnsi="Arial" w:cs="Arial"/>
                <w:color w:val="FFFFFF" w:themeColor="background1"/>
              </w:rPr>
            </w:pPr>
            <w:r w:rsidRPr="78C3123E">
              <w:rPr>
                <w:rFonts w:ascii="Arial" w:hAnsi="Arial" w:cs="Arial"/>
                <w:color w:val="FFFFFF" w:themeColor="background1"/>
              </w:rPr>
              <w:t>1.9</w:t>
            </w:r>
            <w:r w:rsidR="6E43F311" w:rsidRPr="78C3123E">
              <w:rPr>
                <w:rFonts w:ascii="Arial" w:hAnsi="Arial" w:cs="Arial"/>
                <w:color w:val="FFFFFF" w:themeColor="background1"/>
              </w:rPr>
              <w:t>%</w:t>
            </w:r>
          </w:p>
        </w:tc>
        <w:tc>
          <w:tcPr>
            <w:tcW w:w="1845" w:type="dxa"/>
            <w:tcBorders>
              <w:top w:val="single" w:sz="4" w:space="0" w:color="auto"/>
              <w:left w:val="single" w:sz="4" w:space="0" w:color="auto"/>
              <w:bottom w:val="single" w:sz="4" w:space="0" w:color="auto"/>
              <w:right w:val="single" w:sz="4" w:space="0" w:color="auto"/>
            </w:tcBorders>
            <w:shd w:val="clear" w:color="auto" w:fill="FF0000"/>
          </w:tcPr>
          <w:p w14:paraId="4CE9BC4A" w14:textId="3E0CD2CF" w:rsidR="005F2EB2" w:rsidRPr="0060756D" w:rsidRDefault="00AF55DE" w:rsidP="78C3123E">
            <w:pPr>
              <w:pStyle w:val="NoSpacing"/>
              <w:jc w:val="center"/>
              <w:rPr>
                <w:rFonts w:ascii="Arial" w:hAnsi="Arial" w:cs="Arial"/>
                <w:color w:val="FFFFFF" w:themeColor="background1"/>
              </w:rPr>
            </w:pPr>
            <w:r w:rsidRPr="78C3123E">
              <w:rPr>
                <w:rFonts w:ascii="Arial" w:hAnsi="Arial" w:cs="Arial"/>
                <w:color w:val="FFFFFF" w:themeColor="background1"/>
              </w:rPr>
              <w:t>1</w:t>
            </w:r>
            <w:r w:rsidR="6E43F311" w:rsidRPr="78C3123E">
              <w:rPr>
                <w:rFonts w:ascii="Arial" w:hAnsi="Arial" w:cs="Arial"/>
                <w:color w:val="FFFFFF" w:themeColor="background1"/>
              </w:rPr>
              <w:t>.</w:t>
            </w:r>
            <w:r w:rsidR="34B1ECF4" w:rsidRPr="78C3123E">
              <w:rPr>
                <w:rFonts w:ascii="Arial" w:hAnsi="Arial" w:cs="Arial"/>
                <w:color w:val="FFFFFF" w:themeColor="background1"/>
              </w:rPr>
              <w:t>9</w:t>
            </w:r>
            <w:r w:rsidR="6E43F311" w:rsidRPr="78C3123E">
              <w:rPr>
                <w:rFonts w:ascii="Arial" w:hAnsi="Arial" w:cs="Arial"/>
                <w:color w:val="FFFFFF" w:themeColor="background1"/>
              </w:rPr>
              <w:t>%</w:t>
            </w:r>
          </w:p>
        </w:tc>
        <w:tc>
          <w:tcPr>
            <w:tcW w:w="1349" w:type="dxa"/>
            <w:tcBorders>
              <w:top w:val="single" w:sz="4" w:space="0" w:color="auto"/>
              <w:left w:val="single" w:sz="4" w:space="0" w:color="auto"/>
              <w:bottom w:val="single" w:sz="4" w:space="0" w:color="auto"/>
              <w:right w:val="single" w:sz="4" w:space="0" w:color="auto"/>
            </w:tcBorders>
            <w:shd w:val="clear" w:color="auto" w:fill="FFFFFF" w:themeFill="background1"/>
          </w:tcPr>
          <w:p w14:paraId="60E55EA6" w14:textId="36CB6EDC" w:rsidR="005F2EB2" w:rsidRPr="0060756D" w:rsidRDefault="00AF55DE" w:rsidP="005F2EB2">
            <w:pPr>
              <w:pStyle w:val="NoSpacing"/>
              <w:jc w:val="center"/>
              <w:rPr>
                <w:rFonts w:ascii="Arial" w:hAnsi="Arial" w:cs="Arial"/>
              </w:rPr>
            </w:pPr>
            <w:r w:rsidRPr="78C3123E">
              <w:rPr>
                <w:rFonts w:ascii="Arial" w:hAnsi="Arial" w:cs="Arial"/>
              </w:rPr>
              <w:t>3</w:t>
            </w:r>
            <w:r w:rsidR="6E43F311" w:rsidRPr="78C3123E">
              <w:rPr>
                <w:rFonts w:ascii="Arial" w:hAnsi="Arial" w:cs="Arial"/>
              </w:rPr>
              <w:t>.</w:t>
            </w:r>
            <w:r w:rsidR="698606B6" w:rsidRPr="78C3123E">
              <w:rPr>
                <w:rFonts w:ascii="Arial" w:hAnsi="Arial" w:cs="Arial"/>
              </w:rPr>
              <w:t>1</w:t>
            </w:r>
            <w:r w:rsidR="6E43F311" w:rsidRPr="78C3123E">
              <w:rPr>
                <w:rFonts w:ascii="Arial" w:hAnsi="Arial" w:cs="Arial"/>
              </w:rPr>
              <w:t>%</w:t>
            </w:r>
          </w:p>
        </w:tc>
      </w:tr>
    </w:tbl>
    <w:p w14:paraId="2BF3BD9F" w14:textId="77777777" w:rsidR="0030579F" w:rsidRPr="0060756D" w:rsidRDefault="0030579F" w:rsidP="0030579F">
      <w:pPr>
        <w:pStyle w:val="NoSpacing"/>
        <w:rPr>
          <w:rFonts w:ascii="Arial" w:hAnsi="Arial" w:cs="Arial"/>
          <w:b/>
        </w:rPr>
      </w:pPr>
    </w:p>
    <w:p w14:paraId="2BA9102C" w14:textId="77777777" w:rsidR="007B1D09" w:rsidRPr="004358FB" w:rsidRDefault="00AF55DE" w:rsidP="007B1D09">
      <w:pPr>
        <w:pStyle w:val="NoSpacing"/>
        <w:jc w:val="both"/>
        <w:rPr>
          <w:rFonts w:ascii="Arial" w:eastAsia="Times New Roman" w:hAnsi="Arial" w:cs="Arial"/>
          <w:sz w:val="20"/>
          <w:szCs w:val="20"/>
        </w:rPr>
      </w:pPr>
      <w:r w:rsidRPr="007B1D09">
        <w:rPr>
          <w:rFonts w:ascii="Arial" w:hAnsi="Arial" w:cs="Arial"/>
          <w:b/>
          <w:bCs/>
        </w:rPr>
        <w:t>Adults with learning disabilities in employment</w:t>
      </w:r>
      <w:r w:rsidR="005330B3" w:rsidRPr="007B1D09">
        <w:rPr>
          <w:rFonts w:ascii="Arial" w:hAnsi="Arial" w:cs="Arial"/>
        </w:rPr>
        <w:t>.</w:t>
      </w:r>
      <w:r w:rsidR="005330B3">
        <w:rPr>
          <w:rFonts w:cs="Arial"/>
        </w:rPr>
        <w:t xml:space="preserve"> </w:t>
      </w:r>
      <w:r w:rsidRPr="004358FB">
        <w:rPr>
          <w:rFonts w:ascii="Arial" w:hAnsi="Arial" w:cs="Arial"/>
        </w:rPr>
        <w:t xml:space="preserve">The number of Adults with learning disabilities continues to be low and under target </w:t>
      </w:r>
      <w:r>
        <w:rPr>
          <w:rFonts w:ascii="Arial" w:hAnsi="Arial" w:cs="Arial"/>
        </w:rPr>
        <w:t>against</w:t>
      </w:r>
      <w:r w:rsidRPr="004358FB">
        <w:rPr>
          <w:rFonts w:ascii="Arial" w:hAnsi="Arial" w:cs="Arial"/>
        </w:rPr>
        <w:t xml:space="preserve"> the national benchmark of 5.6%. The pandemic reduced some employment prospects impeding the opportunity for people with learning difficulties/disabilities to be in</w:t>
      </w:r>
      <w:r w:rsidRPr="004358FB">
        <w:rPr>
          <w:rFonts w:ascii="Arial" w:hAnsi="Arial" w:cs="Arial"/>
        </w:rPr>
        <w:t>troduced to a working environment.  </w:t>
      </w:r>
    </w:p>
    <w:p w14:paraId="0FDE2581" w14:textId="77777777" w:rsidR="007B1D09" w:rsidRDefault="007B1D09" w:rsidP="007B1D09">
      <w:pPr>
        <w:pStyle w:val="NoSpacing"/>
        <w:jc w:val="both"/>
        <w:rPr>
          <w:rFonts w:ascii="Arial" w:hAnsi="Arial" w:cs="Arial"/>
        </w:rPr>
      </w:pPr>
    </w:p>
    <w:p w14:paraId="58517E35" w14:textId="77777777" w:rsidR="007B1D09" w:rsidRPr="004358FB" w:rsidRDefault="00AF55DE" w:rsidP="007B1D09">
      <w:pPr>
        <w:pStyle w:val="NoSpacing"/>
        <w:jc w:val="both"/>
        <w:rPr>
          <w:rFonts w:ascii="Arial" w:hAnsi="Arial" w:cs="Arial"/>
        </w:rPr>
      </w:pPr>
      <w:r w:rsidRPr="004358FB">
        <w:rPr>
          <w:rFonts w:ascii="Arial" w:hAnsi="Arial" w:cs="Arial"/>
        </w:rPr>
        <w:t>The response to the pandemic reorganised priorities internally and resulted in some of the staff within the adult disability employment support service being re-deployed into other business critical roles. This resulte</w:t>
      </w:r>
      <w:r w:rsidRPr="004358FB">
        <w:rPr>
          <w:rFonts w:ascii="Arial" w:hAnsi="Arial" w:cs="Arial"/>
        </w:rPr>
        <w:t>d in the reduction of some of the support and monitoring. Additionally, referrals for employment support were lower in the 12 months January– December 2020 with 55 referrals received, the previous year there were 233 referrals.   Work has now resume</w:t>
      </w:r>
      <w:r>
        <w:rPr>
          <w:rFonts w:ascii="Arial" w:hAnsi="Arial" w:cs="Arial"/>
        </w:rPr>
        <w:t>d</w:t>
      </w:r>
      <w:r w:rsidRPr="004358FB">
        <w:rPr>
          <w:rFonts w:ascii="Arial" w:hAnsi="Arial" w:cs="Arial"/>
        </w:rPr>
        <w:t xml:space="preserve"> in th</w:t>
      </w:r>
      <w:r w:rsidRPr="004358FB">
        <w:rPr>
          <w:rFonts w:ascii="Arial" w:hAnsi="Arial" w:cs="Arial"/>
        </w:rPr>
        <w:t xml:space="preserve">is area to review how more adults can be supported into employment in the 2021/22 year, </w:t>
      </w:r>
      <w:r>
        <w:rPr>
          <w:rFonts w:ascii="Arial" w:hAnsi="Arial" w:cs="Arial"/>
        </w:rPr>
        <w:t>and this will involve both</w:t>
      </w:r>
      <w:r w:rsidRPr="004358FB">
        <w:rPr>
          <w:rFonts w:ascii="Arial" w:hAnsi="Arial" w:cs="Arial"/>
        </w:rPr>
        <w:t xml:space="preserve"> the specialist support team and also providers of care and support services. </w:t>
      </w:r>
    </w:p>
    <w:p w14:paraId="733FA021" w14:textId="12585EC3" w:rsidR="009E3657" w:rsidRDefault="009E3657" w:rsidP="62385CB5"/>
    <w:p w14:paraId="63382139" w14:textId="4DA34C7C" w:rsidR="00672F05" w:rsidRDefault="00672F05" w:rsidP="62385CB5"/>
    <w:p w14:paraId="0CBA177A" w14:textId="77777777" w:rsidR="0041762F" w:rsidRPr="00E6645E" w:rsidRDefault="0041762F" w:rsidP="62385CB5"/>
    <w:p w14:paraId="740518CD" w14:textId="5FAB0F0E" w:rsidR="00AB7002" w:rsidRDefault="00AF55DE" w:rsidP="00AB7002">
      <w:pPr>
        <w:pStyle w:val="Heading2"/>
        <w:rPr>
          <w:szCs w:val="32"/>
        </w:rPr>
      </w:pPr>
      <w:r>
        <w:lastRenderedPageBreak/>
        <w:t>Lancashire will be the place to prosper</w:t>
      </w:r>
    </w:p>
    <w:tbl>
      <w:tblPr>
        <w:tblW w:w="14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870"/>
        <w:gridCol w:w="1680"/>
        <w:gridCol w:w="780"/>
        <w:gridCol w:w="1365"/>
        <w:gridCol w:w="1354"/>
        <w:gridCol w:w="1286"/>
        <w:gridCol w:w="1335"/>
        <w:gridCol w:w="1260"/>
        <w:gridCol w:w="1365"/>
        <w:gridCol w:w="1436"/>
      </w:tblGrid>
      <w:tr w:rsidR="00BB349C" w14:paraId="2FB3193F" w14:textId="77777777" w:rsidTr="78C3123E">
        <w:trPr>
          <w:trHeight w:val="740"/>
        </w:trPr>
        <w:tc>
          <w:tcPr>
            <w:tcW w:w="1620" w:type="dxa"/>
            <w:tcBorders>
              <w:top w:val="single" w:sz="4" w:space="0" w:color="auto"/>
              <w:left w:val="single" w:sz="4" w:space="0" w:color="auto"/>
              <w:bottom w:val="single" w:sz="4" w:space="0" w:color="auto"/>
              <w:right w:val="single" w:sz="4" w:space="0" w:color="auto"/>
            </w:tcBorders>
            <w:hideMark/>
          </w:tcPr>
          <w:p w14:paraId="1C2E28F4" w14:textId="5ACC34A6" w:rsidR="0CF1EE9E" w:rsidRDefault="00AF55DE" w:rsidP="0CF1EE9E">
            <w:pPr>
              <w:pStyle w:val="NoSpacing"/>
              <w:rPr>
                <w:rFonts w:ascii="Arial" w:hAnsi="Arial" w:cs="Arial"/>
                <w:b/>
                <w:bCs/>
              </w:rPr>
            </w:pPr>
            <w:r w:rsidRPr="0CF1EE9E">
              <w:rPr>
                <w:rFonts w:ascii="Arial" w:hAnsi="Arial" w:cs="Arial"/>
                <w:b/>
                <w:bCs/>
                <w:sz w:val="20"/>
                <w:szCs w:val="20"/>
              </w:rPr>
              <w:t>Performance Indicato</w:t>
            </w:r>
            <w:r w:rsidRPr="0CF1EE9E">
              <w:rPr>
                <w:rFonts w:ascii="Arial" w:hAnsi="Arial" w:cs="Arial"/>
                <w:b/>
                <w:bCs/>
                <w:sz w:val="20"/>
                <w:szCs w:val="20"/>
              </w:rPr>
              <w:t>r</w:t>
            </w:r>
          </w:p>
        </w:tc>
        <w:tc>
          <w:tcPr>
            <w:tcW w:w="870" w:type="dxa"/>
            <w:tcBorders>
              <w:top w:val="single" w:sz="4" w:space="0" w:color="auto"/>
              <w:left w:val="single" w:sz="4" w:space="0" w:color="auto"/>
              <w:bottom w:val="single" w:sz="4" w:space="0" w:color="auto"/>
              <w:right w:val="single" w:sz="4" w:space="0" w:color="auto"/>
            </w:tcBorders>
            <w:hideMark/>
          </w:tcPr>
          <w:p w14:paraId="4739CCFC" w14:textId="5FC7C53B" w:rsidR="0CF1EE9E" w:rsidRDefault="00AF55DE" w:rsidP="0CF1EE9E">
            <w:pPr>
              <w:pStyle w:val="NoSpacing"/>
              <w:rPr>
                <w:rFonts w:ascii="Arial" w:hAnsi="Arial" w:cs="Arial"/>
                <w:b/>
                <w:bCs/>
              </w:rPr>
            </w:pPr>
            <w:r w:rsidRPr="78C3123E">
              <w:rPr>
                <w:rFonts w:ascii="Arial" w:hAnsi="Arial" w:cs="Arial"/>
                <w:b/>
                <w:bCs/>
                <w:sz w:val="20"/>
                <w:szCs w:val="20"/>
              </w:rPr>
              <w:t>Freq</w:t>
            </w:r>
          </w:p>
        </w:tc>
        <w:tc>
          <w:tcPr>
            <w:tcW w:w="1680" w:type="dxa"/>
            <w:tcBorders>
              <w:top w:val="single" w:sz="4" w:space="0" w:color="auto"/>
              <w:left w:val="single" w:sz="4" w:space="0" w:color="auto"/>
              <w:bottom w:val="single" w:sz="4" w:space="0" w:color="auto"/>
              <w:right w:val="single" w:sz="4" w:space="0" w:color="auto"/>
            </w:tcBorders>
          </w:tcPr>
          <w:p w14:paraId="5F2F0048" w14:textId="43C7631F" w:rsidR="0CF1EE9E" w:rsidRDefault="00AF55DE" w:rsidP="0CF1EE9E">
            <w:pPr>
              <w:pStyle w:val="NoSpacing"/>
              <w:rPr>
                <w:rFonts w:ascii="Arial" w:hAnsi="Arial" w:cs="Arial"/>
                <w:b/>
                <w:bCs/>
              </w:rPr>
            </w:pPr>
            <w:r w:rsidRPr="0CF1EE9E">
              <w:rPr>
                <w:rFonts w:ascii="Arial" w:hAnsi="Arial" w:cs="Arial"/>
                <w:b/>
                <w:bCs/>
                <w:sz w:val="20"/>
                <w:szCs w:val="20"/>
              </w:rPr>
              <w:t xml:space="preserve">Directorate </w:t>
            </w:r>
          </w:p>
        </w:tc>
        <w:tc>
          <w:tcPr>
            <w:tcW w:w="780" w:type="dxa"/>
            <w:tcBorders>
              <w:top w:val="single" w:sz="4" w:space="0" w:color="auto"/>
              <w:left w:val="single" w:sz="4" w:space="0" w:color="auto"/>
              <w:bottom w:val="single" w:sz="4" w:space="0" w:color="auto"/>
              <w:right w:val="single" w:sz="4" w:space="0" w:color="auto"/>
            </w:tcBorders>
          </w:tcPr>
          <w:p w14:paraId="42CD8960" w14:textId="520EF36F" w:rsidR="0CF1EE9E" w:rsidRDefault="00AF55DE" w:rsidP="0CF1EE9E">
            <w:pPr>
              <w:pStyle w:val="NoSpacing"/>
              <w:rPr>
                <w:rFonts w:ascii="Arial" w:hAnsi="Arial" w:cs="Arial"/>
                <w:b/>
                <w:bCs/>
              </w:rPr>
            </w:pPr>
            <w:r w:rsidRPr="0CF1EE9E">
              <w:rPr>
                <w:rFonts w:ascii="Arial" w:hAnsi="Arial" w:cs="Arial"/>
                <w:b/>
                <w:bCs/>
                <w:sz w:val="20"/>
                <w:szCs w:val="20"/>
              </w:rPr>
              <w:t>Good is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1BE683D" w14:textId="1CBBECBF" w:rsidR="0CF1EE9E" w:rsidRDefault="00AF55DE" w:rsidP="0CF1EE9E">
            <w:pPr>
              <w:pStyle w:val="NoSpacing"/>
              <w:rPr>
                <w:rFonts w:ascii="Arial" w:hAnsi="Arial" w:cs="Arial"/>
                <w:b/>
                <w:bCs/>
              </w:rPr>
            </w:pPr>
            <w:r w:rsidRPr="0CF1EE9E">
              <w:rPr>
                <w:rFonts w:ascii="Arial" w:hAnsi="Arial" w:cs="Arial"/>
                <w:b/>
                <w:bCs/>
                <w:sz w:val="20"/>
                <w:szCs w:val="20"/>
              </w:rPr>
              <w:t>2019/20 Outturn</w:t>
            </w:r>
          </w:p>
        </w:tc>
        <w:tc>
          <w:tcPr>
            <w:tcW w:w="1354" w:type="dxa"/>
            <w:tcBorders>
              <w:top w:val="single" w:sz="4" w:space="0" w:color="auto"/>
              <w:left w:val="single" w:sz="4" w:space="0" w:color="auto"/>
              <w:bottom w:val="single" w:sz="4" w:space="0" w:color="auto"/>
              <w:right w:val="single" w:sz="4" w:space="0" w:color="auto"/>
            </w:tcBorders>
          </w:tcPr>
          <w:p w14:paraId="56FED49B" w14:textId="7EABC8DB" w:rsidR="0CF1EE9E" w:rsidRDefault="00AF55DE" w:rsidP="0CF1EE9E">
            <w:pPr>
              <w:pStyle w:val="NoSpacing"/>
              <w:rPr>
                <w:rFonts w:ascii="Arial" w:hAnsi="Arial" w:cs="Arial"/>
                <w:b/>
                <w:bCs/>
              </w:rPr>
            </w:pPr>
            <w:r w:rsidRPr="0CF1EE9E">
              <w:rPr>
                <w:rFonts w:ascii="Arial" w:hAnsi="Arial" w:cs="Arial"/>
                <w:b/>
                <w:bCs/>
                <w:sz w:val="20"/>
                <w:szCs w:val="20"/>
              </w:rPr>
              <w:t xml:space="preserve">2020/21 Quarter 1 </w:t>
            </w:r>
            <w:r w:rsidRPr="0CF1EE9E">
              <w:rPr>
                <w:rFonts w:ascii="Arial" w:hAnsi="Arial" w:cs="Arial"/>
                <w:b/>
                <w:bCs/>
                <w:sz w:val="18"/>
                <w:szCs w:val="18"/>
              </w:rPr>
              <w:t>(April –June)</w:t>
            </w:r>
          </w:p>
        </w:tc>
        <w:tc>
          <w:tcPr>
            <w:tcW w:w="1286" w:type="dxa"/>
            <w:tcBorders>
              <w:top w:val="single" w:sz="4" w:space="0" w:color="auto"/>
              <w:left w:val="single" w:sz="4" w:space="0" w:color="auto"/>
              <w:bottom w:val="single" w:sz="4" w:space="0" w:color="auto"/>
              <w:right w:val="single" w:sz="4" w:space="0" w:color="auto"/>
            </w:tcBorders>
          </w:tcPr>
          <w:p w14:paraId="275F4A70" w14:textId="0E9508EB" w:rsidR="0CF1EE9E" w:rsidRDefault="00AF55DE" w:rsidP="0CF1EE9E">
            <w:pPr>
              <w:pStyle w:val="NoSpacing"/>
              <w:rPr>
                <w:rFonts w:ascii="Arial" w:hAnsi="Arial" w:cs="Arial"/>
                <w:b/>
                <w:bCs/>
              </w:rPr>
            </w:pPr>
            <w:r w:rsidRPr="0CF1EE9E">
              <w:rPr>
                <w:rFonts w:ascii="Arial" w:hAnsi="Arial" w:cs="Arial"/>
                <w:b/>
                <w:bCs/>
                <w:sz w:val="20"/>
                <w:szCs w:val="20"/>
              </w:rPr>
              <w:t xml:space="preserve">Quarter 2 </w:t>
            </w:r>
            <w:r w:rsidRPr="0CF1EE9E">
              <w:rPr>
                <w:rFonts w:ascii="Arial" w:hAnsi="Arial" w:cs="Arial"/>
                <w:b/>
                <w:bCs/>
                <w:sz w:val="18"/>
                <w:szCs w:val="18"/>
              </w:rPr>
              <w:t>(July –September)</w:t>
            </w: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1AB6EE95" w14:textId="0273FF49" w:rsidR="0CF1EE9E" w:rsidRDefault="00AF55DE" w:rsidP="0CF1EE9E">
            <w:pPr>
              <w:pStyle w:val="NoSpacing"/>
              <w:rPr>
                <w:rFonts w:ascii="Arial" w:hAnsi="Arial" w:cs="Arial"/>
                <w:b/>
                <w:bCs/>
              </w:rPr>
            </w:pPr>
            <w:r w:rsidRPr="0CF1EE9E">
              <w:rPr>
                <w:rFonts w:ascii="Arial" w:hAnsi="Arial" w:cs="Arial"/>
                <w:b/>
                <w:bCs/>
                <w:sz w:val="20"/>
                <w:szCs w:val="20"/>
              </w:rPr>
              <w:t xml:space="preserve">Quarter 3 </w:t>
            </w:r>
            <w:r w:rsidRPr="0CF1EE9E">
              <w:rPr>
                <w:rFonts w:ascii="Arial" w:hAnsi="Arial" w:cs="Arial"/>
                <w:b/>
                <w:bCs/>
                <w:sz w:val="18"/>
                <w:szCs w:val="18"/>
              </w:rPr>
              <w:t>(October - December)</w:t>
            </w:r>
          </w:p>
        </w:tc>
        <w:tc>
          <w:tcPr>
            <w:tcW w:w="1260" w:type="dxa"/>
            <w:tcBorders>
              <w:top w:val="single" w:sz="4" w:space="0" w:color="auto"/>
              <w:left w:val="single" w:sz="4" w:space="0" w:color="auto"/>
              <w:bottom w:val="single" w:sz="4" w:space="0" w:color="auto"/>
              <w:right w:val="single" w:sz="4" w:space="0" w:color="auto"/>
            </w:tcBorders>
          </w:tcPr>
          <w:p w14:paraId="7C336AC4" w14:textId="29367462" w:rsidR="0CF1EE9E" w:rsidRDefault="00AF55DE" w:rsidP="0CF1EE9E">
            <w:pPr>
              <w:pStyle w:val="NoSpacing"/>
              <w:rPr>
                <w:rFonts w:ascii="Arial" w:hAnsi="Arial" w:cs="Arial"/>
              </w:rPr>
            </w:pPr>
            <w:r w:rsidRPr="0CF1EE9E">
              <w:rPr>
                <w:rFonts w:ascii="Arial" w:hAnsi="Arial" w:cs="Arial"/>
                <w:b/>
                <w:bCs/>
                <w:sz w:val="20"/>
                <w:szCs w:val="20"/>
              </w:rPr>
              <w:t xml:space="preserve">Quarter 4 </w:t>
            </w:r>
            <w:r w:rsidRPr="0CF1EE9E">
              <w:rPr>
                <w:rFonts w:ascii="Arial" w:hAnsi="Arial" w:cs="Arial"/>
                <w:b/>
                <w:bCs/>
                <w:sz w:val="18"/>
                <w:szCs w:val="18"/>
              </w:rPr>
              <w:t>(January - March)</w:t>
            </w:r>
          </w:p>
        </w:tc>
        <w:tc>
          <w:tcPr>
            <w:tcW w:w="1365" w:type="dxa"/>
            <w:tcBorders>
              <w:top w:val="single" w:sz="4" w:space="0" w:color="auto"/>
              <w:left w:val="single" w:sz="4" w:space="0" w:color="auto"/>
              <w:bottom w:val="single" w:sz="4" w:space="0" w:color="auto"/>
              <w:right w:val="single" w:sz="4" w:space="0" w:color="auto"/>
            </w:tcBorders>
          </w:tcPr>
          <w:p w14:paraId="209C6B26" w14:textId="23306E02" w:rsidR="0CF1EE9E" w:rsidRDefault="00AF55DE" w:rsidP="0CF1EE9E">
            <w:pPr>
              <w:pStyle w:val="NoSpacing"/>
              <w:rPr>
                <w:rFonts w:ascii="Arial" w:hAnsi="Arial" w:cs="Arial"/>
                <w:b/>
                <w:bCs/>
              </w:rPr>
            </w:pPr>
            <w:r w:rsidRPr="0CF1EE9E">
              <w:rPr>
                <w:rFonts w:ascii="Arial" w:hAnsi="Arial" w:cs="Arial"/>
                <w:b/>
                <w:bCs/>
                <w:sz w:val="20"/>
                <w:szCs w:val="20"/>
              </w:rPr>
              <w:t xml:space="preserve">2021/22 Quarter 1 </w:t>
            </w:r>
            <w:r w:rsidRPr="0CF1EE9E">
              <w:rPr>
                <w:rFonts w:ascii="Arial" w:hAnsi="Arial" w:cs="Arial"/>
                <w:b/>
                <w:bCs/>
                <w:sz w:val="18"/>
                <w:szCs w:val="18"/>
              </w:rPr>
              <w:t>(April –June)</w:t>
            </w:r>
          </w:p>
          <w:p w14:paraId="0DA0BE14" w14:textId="31C44061" w:rsidR="0CF1EE9E" w:rsidRDefault="0CF1EE9E" w:rsidP="0CF1EE9E">
            <w:pPr>
              <w:pStyle w:val="NoSpacing"/>
              <w:rPr>
                <w:b/>
                <w:bCs/>
                <w:sz w:val="20"/>
                <w:szCs w:val="20"/>
              </w:rPr>
            </w:pPr>
          </w:p>
        </w:tc>
        <w:tc>
          <w:tcPr>
            <w:tcW w:w="1436" w:type="dxa"/>
            <w:tcBorders>
              <w:top w:val="single" w:sz="4" w:space="0" w:color="auto"/>
              <w:left w:val="single" w:sz="4" w:space="0" w:color="auto"/>
              <w:bottom w:val="single" w:sz="4" w:space="0" w:color="auto"/>
              <w:right w:val="single" w:sz="4" w:space="0" w:color="auto"/>
            </w:tcBorders>
          </w:tcPr>
          <w:p w14:paraId="5801786B" w14:textId="57B9268C" w:rsidR="0CF1EE9E" w:rsidRDefault="00AF55DE" w:rsidP="62385CB5">
            <w:pPr>
              <w:pStyle w:val="NoSpacing"/>
              <w:rPr>
                <w:rFonts w:ascii="Arial" w:hAnsi="Arial" w:cs="Arial"/>
                <w:b/>
                <w:bCs/>
                <w:sz w:val="20"/>
                <w:szCs w:val="20"/>
              </w:rPr>
            </w:pPr>
            <w:r w:rsidRPr="62385CB5">
              <w:rPr>
                <w:rFonts w:ascii="Arial" w:hAnsi="Arial" w:cs="Arial"/>
                <w:b/>
                <w:bCs/>
                <w:sz w:val="20"/>
                <w:szCs w:val="20"/>
              </w:rPr>
              <w:t>Project Targets</w:t>
            </w:r>
          </w:p>
        </w:tc>
      </w:tr>
      <w:tr w:rsidR="00BB349C" w14:paraId="17143C68" w14:textId="77777777" w:rsidTr="78C3123E">
        <w:trPr>
          <w:trHeight w:val="1740"/>
        </w:trPr>
        <w:tc>
          <w:tcPr>
            <w:tcW w:w="1620" w:type="dxa"/>
            <w:tcBorders>
              <w:top w:val="single" w:sz="4" w:space="0" w:color="auto"/>
              <w:left w:val="single" w:sz="4" w:space="0" w:color="auto"/>
              <w:bottom w:val="single" w:sz="4" w:space="0" w:color="auto"/>
              <w:right w:val="single" w:sz="4" w:space="0" w:color="auto"/>
            </w:tcBorders>
            <w:hideMark/>
          </w:tcPr>
          <w:p w14:paraId="04DC47FA" w14:textId="77777777" w:rsidR="005F2EB2" w:rsidRPr="00FA30B2" w:rsidRDefault="00AF55DE" w:rsidP="62385CB5">
            <w:pPr>
              <w:pStyle w:val="NoSpacing"/>
              <w:rPr>
                <w:rFonts w:ascii="Arial" w:hAnsi="Arial" w:cs="Arial"/>
                <w:sz w:val="20"/>
                <w:szCs w:val="20"/>
              </w:rPr>
            </w:pPr>
            <w:r w:rsidRPr="62385CB5">
              <w:rPr>
                <w:rFonts w:ascii="Arial" w:hAnsi="Arial" w:cs="Arial"/>
                <w:sz w:val="20"/>
                <w:szCs w:val="20"/>
              </w:rPr>
              <w:t xml:space="preserve">Number of Rosebud loans provided to new </w:t>
            </w:r>
            <w:r w:rsidRPr="62385CB5">
              <w:rPr>
                <w:rFonts w:ascii="Arial" w:hAnsi="Arial" w:cs="Arial"/>
                <w:sz w:val="20"/>
                <w:szCs w:val="20"/>
              </w:rPr>
              <w:t>or existing businesses</w:t>
            </w:r>
          </w:p>
        </w:tc>
        <w:tc>
          <w:tcPr>
            <w:tcW w:w="870" w:type="dxa"/>
            <w:tcBorders>
              <w:top w:val="single" w:sz="4" w:space="0" w:color="auto"/>
              <w:left w:val="single" w:sz="4" w:space="0" w:color="auto"/>
              <w:bottom w:val="single" w:sz="4" w:space="0" w:color="auto"/>
              <w:right w:val="single" w:sz="4" w:space="0" w:color="auto"/>
            </w:tcBorders>
            <w:hideMark/>
          </w:tcPr>
          <w:p w14:paraId="11C1FD3E" w14:textId="62C2F948" w:rsidR="005F2EB2" w:rsidRPr="00FA30B2" w:rsidRDefault="00AF55DE" w:rsidP="62385CB5">
            <w:pPr>
              <w:pStyle w:val="NoSpacing"/>
              <w:rPr>
                <w:rFonts w:ascii="Arial" w:hAnsi="Arial" w:cs="Arial"/>
                <w:sz w:val="20"/>
                <w:szCs w:val="20"/>
              </w:rPr>
            </w:pPr>
            <w:r w:rsidRPr="78C3123E">
              <w:rPr>
                <w:rFonts w:ascii="Arial" w:hAnsi="Arial" w:cs="Arial"/>
                <w:sz w:val="20"/>
                <w:szCs w:val="20"/>
              </w:rPr>
              <w:t>Quart</w:t>
            </w:r>
            <w:r w:rsidR="2B2D5F28" w:rsidRPr="78C3123E">
              <w:rPr>
                <w:rFonts w:ascii="Arial" w:hAnsi="Arial" w:cs="Arial"/>
                <w:sz w:val="20"/>
                <w:szCs w:val="20"/>
              </w:rPr>
              <w:t>’y</w:t>
            </w:r>
          </w:p>
        </w:tc>
        <w:tc>
          <w:tcPr>
            <w:tcW w:w="1680" w:type="dxa"/>
            <w:tcBorders>
              <w:top w:val="single" w:sz="4" w:space="0" w:color="auto"/>
              <w:left w:val="single" w:sz="4" w:space="0" w:color="auto"/>
              <w:bottom w:val="single" w:sz="4" w:space="0" w:color="auto"/>
              <w:right w:val="single" w:sz="4" w:space="0" w:color="auto"/>
            </w:tcBorders>
          </w:tcPr>
          <w:p w14:paraId="5A1CE892" w14:textId="77777777" w:rsidR="005F2EB2" w:rsidRPr="00FA30B2" w:rsidRDefault="00AF55DE" w:rsidP="62385CB5">
            <w:pPr>
              <w:pStyle w:val="NoSpacing"/>
              <w:rPr>
                <w:rFonts w:ascii="Arial" w:hAnsi="Arial" w:cs="Arial"/>
                <w:sz w:val="20"/>
                <w:szCs w:val="20"/>
              </w:rPr>
            </w:pPr>
            <w:r w:rsidRPr="62385CB5">
              <w:rPr>
                <w:rFonts w:ascii="Arial" w:hAnsi="Arial" w:cs="Arial"/>
                <w:sz w:val="20"/>
                <w:szCs w:val="20"/>
              </w:rPr>
              <w:t>Growth, Environment &amp; Transport</w:t>
            </w:r>
          </w:p>
        </w:tc>
        <w:tc>
          <w:tcPr>
            <w:tcW w:w="780" w:type="dxa"/>
            <w:tcBorders>
              <w:top w:val="single" w:sz="4" w:space="0" w:color="auto"/>
              <w:left w:val="single" w:sz="4" w:space="0" w:color="auto"/>
              <w:bottom w:val="single" w:sz="4" w:space="0" w:color="auto"/>
              <w:right w:val="single" w:sz="4" w:space="0" w:color="auto"/>
            </w:tcBorders>
          </w:tcPr>
          <w:p w14:paraId="221319F5" w14:textId="77777777" w:rsidR="005F2EB2" w:rsidRDefault="005F2EB2" w:rsidP="62385CB5">
            <w:pPr>
              <w:pStyle w:val="NoSpacing"/>
              <w:rPr>
                <w:rFonts w:ascii="Arial" w:hAnsi="Arial" w:cs="Arial"/>
                <w:sz w:val="20"/>
                <w:szCs w:val="20"/>
              </w:rPr>
            </w:pPr>
          </w:p>
          <w:p w14:paraId="51D79B94" w14:textId="77777777" w:rsidR="005F2EB2" w:rsidRPr="00FA30B2" w:rsidRDefault="00AF55DE" w:rsidP="62385CB5">
            <w:pPr>
              <w:pStyle w:val="NoSpacing"/>
              <w:rPr>
                <w:rFonts w:ascii="Arial" w:hAnsi="Arial" w:cs="Arial"/>
                <w:sz w:val="20"/>
                <w:szCs w:val="20"/>
              </w:rPr>
            </w:pPr>
            <w:r w:rsidRPr="62385CB5">
              <w:rPr>
                <w:rFonts w:ascii="Arial" w:hAnsi="Arial" w:cs="Arial"/>
                <w:sz w:val="20"/>
                <w:szCs w:val="20"/>
              </w:rPr>
              <w:t>On target</w:t>
            </w:r>
          </w:p>
        </w:tc>
        <w:tc>
          <w:tcPr>
            <w:tcW w:w="1365" w:type="dxa"/>
            <w:tcBorders>
              <w:top w:val="nil"/>
              <w:left w:val="nil"/>
              <w:bottom w:val="single" w:sz="8" w:space="0" w:color="auto"/>
              <w:right w:val="single" w:sz="8" w:space="0" w:color="auto"/>
            </w:tcBorders>
            <w:shd w:val="clear" w:color="auto" w:fill="C5E0B3" w:themeFill="accent6" w:themeFillTint="66"/>
          </w:tcPr>
          <w:p w14:paraId="2795FDC4" w14:textId="1EEC9153" w:rsidR="005F2EB2" w:rsidRDefault="00AF55DE" w:rsidP="62385CB5">
            <w:pPr>
              <w:pStyle w:val="NoSpacing"/>
              <w:jc w:val="center"/>
              <w:rPr>
                <w:rFonts w:ascii="Arial" w:hAnsi="Arial" w:cs="Arial"/>
                <w:sz w:val="20"/>
                <w:szCs w:val="20"/>
              </w:rPr>
            </w:pPr>
            <w:r w:rsidRPr="62385CB5">
              <w:rPr>
                <w:rFonts w:ascii="Arial" w:hAnsi="Arial" w:cs="Arial"/>
                <w:sz w:val="20"/>
                <w:szCs w:val="20"/>
              </w:rPr>
              <w:t>£1,581,000</w:t>
            </w:r>
            <w:r w:rsidR="1F87E8DF" w:rsidRPr="62385CB5">
              <w:rPr>
                <w:rFonts w:ascii="Arial" w:hAnsi="Arial" w:cs="Arial"/>
                <w:sz w:val="20"/>
                <w:szCs w:val="20"/>
              </w:rPr>
              <w:t>-</w:t>
            </w:r>
            <w:r w:rsidRPr="62385CB5">
              <w:rPr>
                <w:rFonts w:ascii="Arial" w:hAnsi="Arial" w:cs="Arial"/>
                <w:sz w:val="20"/>
                <w:szCs w:val="20"/>
              </w:rPr>
              <w:t>9</w:t>
            </w:r>
            <w:r w:rsidR="068B5339" w:rsidRPr="62385CB5">
              <w:rPr>
                <w:rFonts w:ascii="Arial" w:hAnsi="Arial" w:cs="Arial"/>
                <w:sz w:val="20"/>
                <w:szCs w:val="20"/>
              </w:rPr>
              <w:t xml:space="preserve"> </w:t>
            </w:r>
          </w:p>
          <w:p w14:paraId="51E14FF1" w14:textId="10472C6C" w:rsidR="005F2EB2" w:rsidRDefault="00AF55DE" w:rsidP="62385CB5">
            <w:pPr>
              <w:pStyle w:val="NoSpacing"/>
              <w:jc w:val="center"/>
              <w:rPr>
                <w:rFonts w:ascii="Arial" w:hAnsi="Arial" w:cs="Arial"/>
                <w:sz w:val="20"/>
                <w:szCs w:val="20"/>
              </w:rPr>
            </w:pPr>
            <w:r w:rsidRPr="62385CB5">
              <w:rPr>
                <w:rFonts w:ascii="Arial" w:hAnsi="Arial" w:cs="Arial"/>
                <w:sz w:val="20"/>
                <w:szCs w:val="20"/>
              </w:rPr>
              <w:t>i</w:t>
            </w:r>
            <w:r w:rsidR="19CC9CEB" w:rsidRPr="62385CB5">
              <w:rPr>
                <w:rFonts w:ascii="Arial" w:hAnsi="Arial" w:cs="Arial"/>
                <w:sz w:val="20"/>
                <w:szCs w:val="20"/>
              </w:rPr>
              <w:t>nvestments</w:t>
            </w:r>
          </w:p>
        </w:tc>
        <w:tc>
          <w:tcPr>
            <w:tcW w:w="135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BC4A4EB" w14:textId="3E3D2965" w:rsidR="005F2EB2" w:rsidRPr="00AB4748" w:rsidRDefault="00AF55DE" w:rsidP="62385CB5">
            <w:pPr>
              <w:pStyle w:val="NoSpacing"/>
              <w:jc w:val="center"/>
              <w:rPr>
                <w:rFonts w:ascii="Arial" w:hAnsi="Arial" w:cs="Arial"/>
                <w:sz w:val="20"/>
                <w:szCs w:val="20"/>
              </w:rPr>
            </w:pPr>
            <w:r w:rsidRPr="62385CB5">
              <w:rPr>
                <w:rFonts w:ascii="Arial" w:hAnsi="Arial" w:cs="Arial"/>
                <w:sz w:val="20"/>
                <w:szCs w:val="20"/>
              </w:rPr>
              <w:t>£310,000- 2</w:t>
            </w:r>
            <w:r w:rsidR="03705991" w:rsidRPr="62385CB5">
              <w:rPr>
                <w:rFonts w:ascii="Arial" w:hAnsi="Arial" w:cs="Arial"/>
                <w:sz w:val="20"/>
                <w:szCs w:val="20"/>
              </w:rPr>
              <w:t xml:space="preserve"> </w:t>
            </w:r>
            <w:r w:rsidRPr="62385CB5">
              <w:rPr>
                <w:rFonts w:ascii="Arial" w:hAnsi="Arial" w:cs="Arial"/>
                <w:sz w:val="20"/>
                <w:szCs w:val="20"/>
              </w:rPr>
              <w:t>investments</w:t>
            </w:r>
          </w:p>
        </w:tc>
        <w:tc>
          <w:tcPr>
            <w:tcW w:w="1286" w:type="dxa"/>
            <w:tcBorders>
              <w:top w:val="single" w:sz="4" w:space="0" w:color="auto"/>
              <w:left w:val="single" w:sz="4" w:space="0" w:color="auto"/>
              <w:bottom w:val="single" w:sz="4" w:space="0" w:color="auto"/>
              <w:right w:val="single" w:sz="4" w:space="0" w:color="auto"/>
            </w:tcBorders>
            <w:shd w:val="clear" w:color="auto" w:fill="FF0000"/>
          </w:tcPr>
          <w:p w14:paraId="51F7B971" w14:textId="77777777" w:rsidR="005F2EB2" w:rsidRPr="00AB4748" w:rsidRDefault="00AF55DE" w:rsidP="78C3123E">
            <w:pPr>
              <w:pStyle w:val="NoSpacing"/>
              <w:jc w:val="center"/>
              <w:rPr>
                <w:rFonts w:ascii="Arial" w:hAnsi="Arial" w:cs="Arial"/>
                <w:color w:val="FFFFFF" w:themeColor="background1"/>
                <w:sz w:val="20"/>
                <w:szCs w:val="20"/>
              </w:rPr>
            </w:pPr>
            <w:r w:rsidRPr="78C3123E">
              <w:rPr>
                <w:rFonts w:ascii="Arial" w:hAnsi="Arial" w:cs="Arial"/>
                <w:color w:val="FFFFFF" w:themeColor="background1"/>
                <w:sz w:val="20"/>
                <w:szCs w:val="20"/>
              </w:rPr>
              <w:t>£82,000-1 investment</w:t>
            </w:r>
          </w:p>
        </w:tc>
        <w:tc>
          <w:tcPr>
            <w:tcW w:w="1335" w:type="dxa"/>
            <w:tcBorders>
              <w:top w:val="single" w:sz="4" w:space="0" w:color="auto"/>
              <w:left w:val="single" w:sz="4" w:space="0" w:color="auto"/>
              <w:bottom w:val="single" w:sz="4" w:space="0" w:color="auto"/>
              <w:right w:val="single" w:sz="4" w:space="0" w:color="auto"/>
            </w:tcBorders>
            <w:shd w:val="clear" w:color="auto" w:fill="FF0000"/>
          </w:tcPr>
          <w:p w14:paraId="2791F75F" w14:textId="77777777" w:rsidR="005F2EB2" w:rsidRPr="00AB4748" w:rsidRDefault="00AF55DE" w:rsidP="78C3123E">
            <w:pPr>
              <w:pStyle w:val="NoSpacing"/>
              <w:jc w:val="center"/>
              <w:rPr>
                <w:rFonts w:ascii="Arial" w:hAnsi="Arial" w:cs="Arial"/>
                <w:color w:val="FFFFFF" w:themeColor="background1"/>
                <w:sz w:val="20"/>
                <w:szCs w:val="20"/>
              </w:rPr>
            </w:pPr>
            <w:r w:rsidRPr="78C3123E">
              <w:rPr>
                <w:rFonts w:ascii="Arial" w:hAnsi="Arial" w:cs="Arial"/>
                <w:color w:val="FFFFFF" w:themeColor="background1"/>
                <w:sz w:val="20"/>
                <w:szCs w:val="20"/>
              </w:rPr>
              <w:t>£300,000- 1 investment</w:t>
            </w:r>
          </w:p>
        </w:tc>
        <w:tc>
          <w:tcPr>
            <w:tcW w:w="1260" w:type="dxa"/>
            <w:tcBorders>
              <w:top w:val="single" w:sz="4" w:space="0" w:color="auto"/>
              <w:left w:val="single" w:sz="4" w:space="0" w:color="auto"/>
              <w:bottom w:val="single" w:sz="4" w:space="0" w:color="auto"/>
              <w:right w:val="single" w:sz="4" w:space="0" w:color="auto"/>
            </w:tcBorders>
            <w:shd w:val="clear" w:color="auto" w:fill="FF0000"/>
          </w:tcPr>
          <w:p w14:paraId="7C9FDB10" w14:textId="702ED2CE" w:rsidR="005F2EB2" w:rsidRPr="001121BB" w:rsidRDefault="00AF55DE" w:rsidP="78C3123E">
            <w:pPr>
              <w:pStyle w:val="NoSpacing"/>
              <w:jc w:val="center"/>
              <w:rPr>
                <w:rFonts w:ascii="Arial" w:hAnsi="Arial" w:cs="Arial"/>
                <w:color w:val="FFFFFF" w:themeColor="background1"/>
                <w:sz w:val="20"/>
                <w:szCs w:val="20"/>
                <w:highlight w:val="red"/>
              </w:rPr>
            </w:pPr>
            <w:r w:rsidRPr="78C3123E">
              <w:rPr>
                <w:rFonts w:ascii="Arial" w:hAnsi="Arial" w:cs="Arial"/>
                <w:color w:val="FFFFFF" w:themeColor="background1"/>
                <w:sz w:val="20"/>
                <w:szCs w:val="20"/>
                <w:highlight w:val="red"/>
              </w:rPr>
              <w:t>0</w:t>
            </w:r>
          </w:p>
        </w:tc>
        <w:tc>
          <w:tcPr>
            <w:tcW w:w="13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8C6A4C1" w14:textId="1D9EFCD6" w:rsidR="0CF1EE9E" w:rsidRDefault="00AF55DE" w:rsidP="62385CB5">
            <w:pPr>
              <w:pStyle w:val="NoSpacing"/>
              <w:jc w:val="center"/>
              <w:rPr>
                <w:rFonts w:ascii="Arial" w:hAnsi="Arial" w:cs="Arial"/>
                <w:sz w:val="20"/>
                <w:szCs w:val="20"/>
              </w:rPr>
            </w:pPr>
            <w:r w:rsidRPr="3F67678D">
              <w:rPr>
                <w:rFonts w:ascii="Arial" w:hAnsi="Arial" w:cs="Arial"/>
                <w:sz w:val="20"/>
                <w:szCs w:val="20"/>
              </w:rPr>
              <w:t>£569,000 -</w:t>
            </w:r>
          </w:p>
          <w:p w14:paraId="3BBE8010" w14:textId="28C9348A" w:rsidR="0CF1EE9E" w:rsidRDefault="00AF55DE" w:rsidP="62385CB5">
            <w:pPr>
              <w:pStyle w:val="NoSpacing"/>
              <w:jc w:val="center"/>
              <w:rPr>
                <w:rFonts w:ascii="Arial" w:hAnsi="Arial" w:cs="Arial"/>
                <w:sz w:val="20"/>
                <w:szCs w:val="20"/>
              </w:rPr>
            </w:pPr>
            <w:r w:rsidRPr="62385CB5">
              <w:rPr>
                <w:rFonts w:ascii="Arial" w:hAnsi="Arial" w:cs="Arial"/>
                <w:sz w:val="20"/>
                <w:szCs w:val="20"/>
              </w:rPr>
              <w:t>3 investments</w:t>
            </w:r>
          </w:p>
        </w:tc>
        <w:tc>
          <w:tcPr>
            <w:tcW w:w="1436" w:type="dxa"/>
            <w:tcBorders>
              <w:top w:val="single" w:sz="4" w:space="0" w:color="auto"/>
              <w:left w:val="single" w:sz="4" w:space="0" w:color="auto"/>
              <w:bottom w:val="single" w:sz="4" w:space="0" w:color="auto"/>
              <w:right w:val="single" w:sz="4" w:space="0" w:color="auto"/>
            </w:tcBorders>
          </w:tcPr>
          <w:p w14:paraId="25CBD0C1" w14:textId="41484E61" w:rsidR="005F2EB2" w:rsidRPr="00250B77" w:rsidRDefault="00AF55DE" w:rsidP="62385CB5">
            <w:pPr>
              <w:pStyle w:val="NoSpacing"/>
              <w:jc w:val="center"/>
              <w:rPr>
                <w:rFonts w:ascii="Arial" w:hAnsi="Arial" w:cs="Arial"/>
                <w:sz w:val="20"/>
                <w:szCs w:val="20"/>
              </w:rPr>
            </w:pPr>
            <w:r w:rsidRPr="62385CB5">
              <w:rPr>
                <w:rFonts w:ascii="Arial" w:hAnsi="Arial" w:cs="Arial"/>
                <w:sz w:val="20"/>
                <w:szCs w:val="20"/>
              </w:rPr>
              <w:t>5-year</w:t>
            </w:r>
            <w:r w:rsidR="19CC9CEB" w:rsidRPr="62385CB5">
              <w:rPr>
                <w:rFonts w:ascii="Arial" w:hAnsi="Arial" w:cs="Arial"/>
                <w:sz w:val="20"/>
                <w:szCs w:val="20"/>
              </w:rPr>
              <w:t xml:space="preserve"> target is £11.25m covering 150 investments (July 2019 - June 2024)</w:t>
            </w:r>
          </w:p>
        </w:tc>
      </w:tr>
      <w:tr w:rsidR="00BB349C" w14:paraId="19290D13" w14:textId="77777777" w:rsidTr="78C3123E">
        <w:trPr>
          <w:trHeight w:val="926"/>
        </w:trPr>
        <w:tc>
          <w:tcPr>
            <w:tcW w:w="1620" w:type="dxa"/>
            <w:tcBorders>
              <w:top w:val="single" w:sz="4" w:space="0" w:color="auto"/>
              <w:left w:val="single" w:sz="4" w:space="0" w:color="auto"/>
              <w:bottom w:val="single" w:sz="4" w:space="0" w:color="auto"/>
              <w:right w:val="single" w:sz="4" w:space="0" w:color="auto"/>
            </w:tcBorders>
            <w:hideMark/>
          </w:tcPr>
          <w:p w14:paraId="7E5E0F69" w14:textId="77777777" w:rsidR="005F2EB2" w:rsidRPr="00FA30B2" w:rsidRDefault="00AF55DE" w:rsidP="62385CB5">
            <w:pPr>
              <w:pStyle w:val="NoSpacing"/>
              <w:rPr>
                <w:rFonts w:ascii="Arial" w:hAnsi="Arial" w:cs="Arial"/>
                <w:sz w:val="20"/>
                <w:szCs w:val="20"/>
              </w:rPr>
            </w:pPr>
            <w:r w:rsidRPr="62385CB5">
              <w:rPr>
                <w:rFonts w:ascii="Arial" w:hAnsi="Arial" w:cs="Arial"/>
                <w:sz w:val="20"/>
                <w:szCs w:val="20"/>
              </w:rPr>
              <w:t>Number of jobs created by Boost</w:t>
            </w:r>
          </w:p>
        </w:tc>
        <w:tc>
          <w:tcPr>
            <w:tcW w:w="870" w:type="dxa"/>
            <w:tcBorders>
              <w:top w:val="single" w:sz="4" w:space="0" w:color="auto"/>
              <w:left w:val="single" w:sz="4" w:space="0" w:color="auto"/>
              <w:bottom w:val="single" w:sz="4" w:space="0" w:color="auto"/>
              <w:right w:val="single" w:sz="4" w:space="0" w:color="auto"/>
            </w:tcBorders>
            <w:hideMark/>
          </w:tcPr>
          <w:p w14:paraId="798220BC" w14:textId="5A38EDCA" w:rsidR="005F2EB2" w:rsidRPr="00FA30B2" w:rsidRDefault="00AF55DE" w:rsidP="78C3123E">
            <w:pPr>
              <w:pStyle w:val="NoSpacing"/>
              <w:rPr>
                <w:rFonts w:ascii="Arial" w:hAnsi="Arial" w:cs="Arial"/>
                <w:sz w:val="20"/>
                <w:szCs w:val="20"/>
              </w:rPr>
            </w:pPr>
            <w:r w:rsidRPr="78C3123E">
              <w:rPr>
                <w:rFonts w:ascii="Arial" w:hAnsi="Arial" w:cs="Arial"/>
                <w:sz w:val="20"/>
                <w:szCs w:val="20"/>
              </w:rPr>
              <w:t>Quart</w:t>
            </w:r>
            <w:r w:rsidR="5222112D" w:rsidRPr="78C3123E">
              <w:rPr>
                <w:rFonts w:ascii="Arial" w:hAnsi="Arial" w:cs="Arial"/>
                <w:sz w:val="20"/>
                <w:szCs w:val="20"/>
              </w:rPr>
              <w:t>’</w:t>
            </w:r>
            <w:r w:rsidRPr="78C3123E">
              <w:rPr>
                <w:rFonts w:ascii="Arial" w:hAnsi="Arial" w:cs="Arial"/>
                <w:sz w:val="20"/>
                <w:szCs w:val="20"/>
              </w:rPr>
              <w:t>y</w:t>
            </w:r>
          </w:p>
        </w:tc>
        <w:tc>
          <w:tcPr>
            <w:tcW w:w="1680" w:type="dxa"/>
            <w:tcBorders>
              <w:top w:val="single" w:sz="4" w:space="0" w:color="auto"/>
              <w:left w:val="single" w:sz="4" w:space="0" w:color="auto"/>
              <w:bottom w:val="single" w:sz="4" w:space="0" w:color="auto"/>
              <w:right w:val="single" w:sz="4" w:space="0" w:color="auto"/>
            </w:tcBorders>
          </w:tcPr>
          <w:p w14:paraId="102EB43A" w14:textId="77777777" w:rsidR="005F2EB2" w:rsidRPr="00FA30B2" w:rsidRDefault="00AF55DE" w:rsidP="62385CB5">
            <w:pPr>
              <w:pStyle w:val="NoSpacing"/>
              <w:rPr>
                <w:rFonts w:ascii="Arial" w:hAnsi="Arial" w:cs="Arial"/>
                <w:sz w:val="20"/>
                <w:szCs w:val="20"/>
              </w:rPr>
            </w:pPr>
            <w:r w:rsidRPr="62385CB5">
              <w:rPr>
                <w:rFonts w:ascii="Arial" w:hAnsi="Arial" w:cs="Arial"/>
                <w:sz w:val="20"/>
                <w:szCs w:val="20"/>
              </w:rPr>
              <w:t>Growth, Environment &amp; Transport</w:t>
            </w:r>
          </w:p>
        </w:tc>
        <w:tc>
          <w:tcPr>
            <w:tcW w:w="780" w:type="dxa"/>
            <w:tcBorders>
              <w:top w:val="single" w:sz="4" w:space="0" w:color="auto"/>
              <w:left w:val="single" w:sz="4" w:space="0" w:color="auto"/>
              <w:bottom w:val="single" w:sz="4" w:space="0" w:color="auto"/>
              <w:right w:val="single" w:sz="4" w:space="0" w:color="auto"/>
            </w:tcBorders>
          </w:tcPr>
          <w:p w14:paraId="6AC4C625" w14:textId="77777777" w:rsidR="005F2EB2" w:rsidRDefault="005F2EB2" w:rsidP="62385CB5">
            <w:pPr>
              <w:pStyle w:val="NoSpacing"/>
              <w:rPr>
                <w:rFonts w:ascii="Arial" w:hAnsi="Arial" w:cs="Arial"/>
                <w:sz w:val="20"/>
                <w:szCs w:val="20"/>
              </w:rPr>
            </w:pPr>
          </w:p>
          <w:p w14:paraId="19F278AC" w14:textId="77777777" w:rsidR="005F2EB2" w:rsidRPr="00FA30B2" w:rsidRDefault="00AF55DE" w:rsidP="62385CB5">
            <w:pPr>
              <w:pStyle w:val="NoSpacing"/>
              <w:rPr>
                <w:rFonts w:ascii="Arial" w:hAnsi="Arial" w:cs="Arial"/>
                <w:sz w:val="20"/>
                <w:szCs w:val="20"/>
              </w:rPr>
            </w:pPr>
            <w:r w:rsidRPr="62385CB5">
              <w:rPr>
                <w:rFonts w:ascii="Arial" w:hAnsi="Arial" w:cs="Arial"/>
                <w:sz w:val="20"/>
                <w:szCs w:val="20"/>
              </w:rPr>
              <w:t>On target</w:t>
            </w:r>
          </w:p>
        </w:tc>
        <w:tc>
          <w:tcPr>
            <w:tcW w:w="1365" w:type="dxa"/>
            <w:tcBorders>
              <w:top w:val="nil"/>
              <w:left w:val="nil"/>
              <w:bottom w:val="single" w:sz="4" w:space="0" w:color="auto"/>
              <w:right w:val="single" w:sz="8" w:space="0" w:color="auto"/>
            </w:tcBorders>
            <w:shd w:val="clear" w:color="auto" w:fill="C5E0B3" w:themeFill="accent6" w:themeFillTint="66"/>
          </w:tcPr>
          <w:p w14:paraId="0730119D" w14:textId="667940D1" w:rsidR="005F2EB2" w:rsidRPr="00A96B3C" w:rsidRDefault="00AF55DE" w:rsidP="62385CB5">
            <w:pPr>
              <w:pStyle w:val="NoSpacing"/>
              <w:shd w:val="clear" w:color="auto" w:fill="C5E0B3" w:themeFill="accent6" w:themeFillTint="66"/>
              <w:jc w:val="center"/>
              <w:rPr>
                <w:rFonts w:ascii="Arial" w:hAnsi="Arial" w:cs="Arial"/>
                <w:sz w:val="20"/>
                <w:szCs w:val="20"/>
              </w:rPr>
            </w:pPr>
            <w:r w:rsidRPr="62385CB5">
              <w:rPr>
                <w:rFonts w:ascii="Arial" w:hAnsi="Arial" w:cs="Arial"/>
                <w:sz w:val="20"/>
                <w:szCs w:val="20"/>
              </w:rPr>
              <w:t>242.22</w:t>
            </w:r>
          </w:p>
          <w:p w14:paraId="5A2058F9" w14:textId="77777777" w:rsidR="005F2EB2" w:rsidRPr="00A96B3C" w:rsidRDefault="00AF55DE" w:rsidP="62385CB5">
            <w:pPr>
              <w:pStyle w:val="NoSpacing"/>
              <w:jc w:val="center"/>
              <w:rPr>
                <w:rFonts w:ascii="Arial" w:hAnsi="Arial" w:cs="Arial"/>
                <w:sz w:val="20"/>
                <w:szCs w:val="20"/>
              </w:rPr>
            </w:pPr>
            <w:r w:rsidRPr="62385CB5">
              <w:rPr>
                <w:rFonts w:ascii="Arial" w:hAnsi="Arial" w:cs="Arial"/>
                <w:sz w:val="20"/>
                <w:szCs w:val="20"/>
              </w:rPr>
              <w:t>Target 110</w:t>
            </w:r>
          </w:p>
        </w:tc>
        <w:tc>
          <w:tcPr>
            <w:tcW w:w="1354" w:type="dxa"/>
            <w:tcBorders>
              <w:top w:val="single" w:sz="4" w:space="0" w:color="auto"/>
              <w:left w:val="single" w:sz="4" w:space="0" w:color="auto"/>
              <w:bottom w:val="single" w:sz="4" w:space="0" w:color="auto"/>
              <w:right w:val="single" w:sz="4" w:space="0" w:color="auto"/>
            </w:tcBorders>
            <w:shd w:val="clear" w:color="auto" w:fill="FF0000"/>
          </w:tcPr>
          <w:p w14:paraId="2602375A" w14:textId="13CF33BD" w:rsidR="005F2EB2" w:rsidRPr="001C09B2" w:rsidRDefault="00AF55DE" w:rsidP="78C3123E">
            <w:pPr>
              <w:pStyle w:val="NoSpacing"/>
              <w:jc w:val="center"/>
              <w:rPr>
                <w:rFonts w:ascii="Arial" w:hAnsi="Arial" w:cs="Arial"/>
                <w:color w:val="FFFFFF" w:themeColor="background1"/>
                <w:sz w:val="20"/>
                <w:szCs w:val="20"/>
              </w:rPr>
            </w:pPr>
            <w:r w:rsidRPr="78C3123E">
              <w:rPr>
                <w:rFonts w:ascii="Arial" w:hAnsi="Arial" w:cs="Arial"/>
                <w:color w:val="FFFFFF" w:themeColor="background1"/>
                <w:sz w:val="20"/>
                <w:szCs w:val="20"/>
              </w:rPr>
              <w:t>12.33</w:t>
            </w:r>
          </w:p>
          <w:p w14:paraId="3E124AF1" w14:textId="77777777" w:rsidR="005F2EB2" w:rsidRPr="001C09B2" w:rsidRDefault="00AF55DE" w:rsidP="78C3123E">
            <w:pPr>
              <w:pStyle w:val="NoSpacing"/>
              <w:jc w:val="center"/>
              <w:rPr>
                <w:rFonts w:ascii="Arial" w:hAnsi="Arial" w:cs="Arial"/>
                <w:color w:val="FFFFFF" w:themeColor="background1"/>
                <w:sz w:val="20"/>
                <w:szCs w:val="20"/>
              </w:rPr>
            </w:pPr>
            <w:r w:rsidRPr="78C3123E">
              <w:rPr>
                <w:rFonts w:ascii="Arial" w:hAnsi="Arial" w:cs="Arial"/>
                <w:color w:val="FFFFFF" w:themeColor="background1"/>
                <w:sz w:val="20"/>
                <w:szCs w:val="20"/>
              </w:rPr>
              <w:t>Target 143</w:t>
            </w:r>
          </w:p>
        </w:tc>
        <w:tc>
          <w:tcPr>
            <w:tcW w:w="1286" w:type="dxa"/>
            <w:tcBorders>
              <w:top w:val="single" w:sz="4" w:space="0" w:color="auto"/>
              <w:left w:val="single" w:sz="4" w:space="0" w:color="auto"/>
              <w:bottom w:val="single" w:sz="4" w:space="0" w:color="auto"/>
              <w:right w:val="single" w:sz="4" w:space="0" w:color="auto"/>
            </w:tcBorders>
            <w:shd w:val="clear" w:color="auto" w:fill="FF0000"/>
          </w:tcPr>
          <w:p w14:paraId="5ED1D1D2" w14:textId="1BAC79A9" w:rsidR="005F2EB2" w:rsidRDefault="00AF55DE" w:rsidP="78C3123E">
            <w:pPr>
              <w:pStyle w:val="NoSpacing"/>
              <w:jc w:val="center"/>
              <w:rPr>
                <w:rFonts w:ascii="Arial" w:hAnsi="Arial" w:cs="Arial"/>
                <w:color w:val="FFFFFF" w:themeColor="background1"/>
                <w:sz w:val="20"/>
                <w:szCs w:val="20"/>
              </w:rPr>
            </w:pPr>
            <w:r w:rsidRPr="78C3123E">
              <w:rPr>
                <w:rFonts w:ascii="Arial" w:hAnsi="Arial" w:cs="Arial"/>
                <w:color w:val="FFFFFF" w:themeColor="background1"/>
                <w:sz w:val="20"/>
                <w:szCs w:val="20"/>
              </w:rPr>
              <w:t>89.11</w:t>
            </w:r>
          </w:p>
          <w:p w14:paraId="326B5010" w14:textId="77777777" w:rsidR="005F2EB2" w:rsidRPr="00FA30B2" w:rsidRDefault="00AF55DE" w:rsidP="78C3123E">
            <w:pPr>
              <w:pStyle w:val="NoSpacing"/>
              <w:jc w:val="center"/>
              <w:rPr>
                <w:rFonts w:ascii="Arial" w:hAnsi="Arial" w:cs="Arial"/>
                <w:color w:val="FFFFFF" w:themeColor="background1"/>
                <w:sz w:val="20"/>
                <w:szCs w:val="20"/>
              </w:rPr>
            </w:pPr>
            <w:r w:rsidRPr="78C3123E">
              <w:rPr>
                <w:rFonts w:ascii="Arial" w:hAnsi="Arial" w:cs="Arial"/>
                <w:color w:val="FFFFFF" w:themeColor="background1"/>
                <w:sz w:val="20"/>
                <w:szCs w:val="20"/>
              </w:rPr>
              <w:t>Target 110</w:t>
            </w:r>
          </w:p>
        </w:tc>
        <w:tc>
          <w:tcPr>
            <w:tcW w:w="1335" w:type="dxa"/>
            <w:tcBorders>
              <w:top w:val="single" w:sz="4" w:space="0" w:color="auto"/>
              <w:left w:val="single" w:sz="4" w:space="0" w:color="auto"/>
              <w:bottom w:val="single" w:sz="4" w:space="0" w:color="auto"/>
              <w:right w:val="single" w:sz="4" w:space="0" w:color="auto"/>
            </w:tcBorders>
            <w:shd w:val="clear" w:color="auto" w:fill="FF0000"/>
          </w:tcPr>
          <w:p w14:paraId="59EB496E" w14:textId="69CA4947" w:rsidR="005F2EB2" w:rsidRPr="00FA30B2" w:rsidRDefault="00AF55DE" w:rsidP="78C3123E">
            <w:pPr>
              <w:pStyle w:val="NoSpacing"/>
              <w:jc w:val="center"/>
              <w:rPr>
                <w:rFonts w:ascii="Arial" w:hAnsi="Arial" w:cs="Arial"/>
                <w:color w:val="FFFFFF" w:themeColor="background1"/>
                <w:sz w:val="20"/>
                <w:szCs w:val="20"/>
              </w:rPr>
            </w:pPr>
            <w:r w:rsidRPr="78C3123E">
              <w:rPr>
                <w:rFonts w:ascii="Arial" w:hAnsi="Arial" w:cs="Arial"/>
                <w:color w:val="FFFFFF" w:themeColor="background1"/>
                <w:sz w:val="20"/>
                <w:szCs w:val="20"/>
              </w:rPr>
              <w:t>80.93 Target 100</w:t>
            </w:r>
          </w:p>
        </w:tc>
        <w:tc>
          <w:tcPr>
            <w:tcW w:w="1260" w:type="dxa"/>
            <w:tcBorders>
              <w:top w:val="single" w:sz="4" w:space="0" w:color="auto"/>
              <w:left w:val="single" w:sz="4" w:space="0" w:color="auto"/>
              <w:bottom w:val="single" w:sz="4" w:space="0" w:color="auto"/>
              <w:right w:val="single" w:sz="4" w:space="0" w:color="auto"/>
            </w:tcBorders>
            <w:shd w:val="clear" w:color="auto" w:fill="FF0000"/>
          </w:tcPr>
          <w:p w14:paraId="7AFE7794" w14:textId="337D30F0" w:rsidR="001121BB" w:rsidRPr="00FA30B2" w:rsidRDefault="00AF55DE" w:rsidP="78C3123E">
            <w:pPr>
              <w:pStyle w:val="NoSpacing"/>
              <w:jc w:val="center"/>
              <w:rPr>
                <w:rFonts w:ascii="Arial" w:hAnsi="Arial" w:cs="Arial"/>
                <w:color w:val="FFFFFF" w:themeColor="background1"/>
                <w:sz w:val="20"/>
                <w:szCs w:val="20"/>
              </w:rPr>
            </w:pPr>
            <w:r w:rsidRPr="78C3123E">
              <w:rPr>
                <w:rFonts w:ascii="Arial" w:hAnsi="Arial" w:cs="Arial"/>
                <w:color w:val="FFFFFF" w:themeColor="background1"/>
                <w:sz w:val="20"/>
                <w:szCs w:val="20"/>
              </w:rPr>
              <w:t>42.05 Target</w:t>
            </w:r>
            <w:r w:rsidR="7C6F5744" w:rsidRPr="78C3123E">
              <w:rPr>
                <w:rFonts w:ascii="Arial" w:hAnsi="Arial" w:cs="Arial"/>
                <w:color w:val="FFFFFF" w:themeColor="background1"/>
                <w:sz w:val="20"/>
                <w:szCs w:val="20"/>
              </w:rPr>
              <w:t xml:space="preserve"> </w:t>
            </w:r>
            <w:r w:rsidRPr="78C3123E">
              <w:rPr>
                <w:rFonts w:ascii="Arial" w:hAnsi="Arial" w:cs="Arial"/>
                <w:color w:val="FFFFFF" w:themeColor="background1"/>
                <w:sz w:val="20"/>
                <w:szCs w:val="20"/>
              </w:rPr>
              <w:t>100</w:t>
            </w:r>
          </w:p>
        </w:tc>
        <w:tc>
          <w:tcPr>
            <w:tcW w:w="13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2005242" w14:textId="75DD67FE" w:rsidR="0CF1EE9E" w:rsidRDefault="00AF55DE" w:rsidP="62385CB5">
            <w:pPr>
              <w:pStyle w:val="NoSpacing"/>
              <w:jc w:val="center"/>
              <w:rPr>
                <w:rFonts w:ascii="Arial" w:hAnsi="Arial" w:cs="Arial"/>
                <w:sz w:val="20"/>
                <w:szCs w:val="20"/>
              </w:rPr>
            </w:pPr>
            <w:r w:rsidRPr="62385CB5">
              <w:rPr>
                <w:rFonts w:ascii="Arial" w:hAnsi="Arial" w:cs="Arial"/>
                <w:sz w:val="20"/>
                <w:szCs w:val="20"/>
              </w:rPr>
              <w:t>128.33</w:t>
            </w:r>
          </w:p>
          <w:p w14:paraId="00FE741F" w14:textId="4AE4CDAB" w:rsidR="0CF1EE9E" w:rsidRDefault="00AF55DE" w:rsidP="62385CB5">
            <w:pPr>
              <w:pStyle w:val="NoSpacing"/>
              <w:jc w:val="center"/>
              <w:rPr>
                <w:rFonts w:ascii="Arial" w:hAnsi="Arial" w:cs="Arial"/>
                <w:sz w:val="20"/>
                <w:szCs w:val="20"/>
              </w:rPr>
            </w:pPr>
            <w:r w:rsidRPr="62385CB5">
              <w:rPr>
                <w:rFonts w:ascii="Arial" w:hAnsi="Arial" w:cs="Arial"/>
                <w:sz w:val="20"/>
                <w:szCs w:val="20"/>
              </w:rPr>
              <w:t>Target 100</w:t>
            </w:r>
          </w:p>
          <w:p w14:paraId="5265EE06" w14:textId="5805FB9C" w:rsidR="0CF1EE9E" w:rsidRDefault="0CF1EE9E" w:rsidP="62385CB5">
            <w:pPr>
              <w:pStyle w:val="NoSpacing"/>
              <w:jc w:val="center"/>
              <w:rPr>
                <w:rFonts w:ascii="Arial" w:hAnsi="Arial" w:cs="Arial"/>
                <w:sz w:val="20"/>
                <w:szCs w:val="20"/>
              </w:rPr>
            </w:pPr>
          </w:p>
        </w:tc>
        <w:tc>
          <w:tcPr>
            <w:tcW w:w="1436" w:type="dxa"/>
            <w:tcBorders>
              <w:top w:val="single" w:sz="4" w:space="0" w:color="auto"/>
              <w:left w:val="single" w:sz="4" w:space="0" w:color="auto"/>
              <w:bottom w:val="single" w:sz="4" w:space="0" w:color="auto"/>
              <w:right w:val="single" w:sz="4" w:space="0" w:color="auto"/>
            </w:tcBorders>
          </w:tcPr>
          <w:p w14:paraId="326CF613" w14:textId="1BA3EE6C" w:rsidR="005F2EB2" w:rsidRPr="00FA30B2" w:rsidRDefault="00AF55DE" w:rsidP="62385CB5">
            <w:pPr>
              <w:pStyle w:val="NoSpacing"/>
              <w:jc w:val="center"/>
              <w:rPr>
                <w:rFonts w:ascii="Arial" w:hAnsi="Arial" w:cs="Arial"/>
                <w:sz w:val="20"/>
                <w:szCs w:val="20"/>
              </w:rPr>
            </w:pPr>
            <w:r w:rsidRPr="62385CB5">
              <w:rPr>
                <w:rFonts w:ascii="Arial" w:hAnsi="Arial" w:cs="Arial"/>
                <w:sz w:val="20"/>
                <w:szCs w:val="20"/>
              </w:rPr>
              <w:t>1,000 jobs target (Jan 2019 - Dec 2022)</w:t>
            </w:r>
          </w:p>
        </w:tc>
      </w:tr>
      <w:tr w:rsidR="00BB349C" w14:paraId="7718F6A8" w14:textId="77777777" w:rsidTr="78C3123E">
        <w:trPr>
          <w:trHeight w:val="1178"/>
        </w:trPr>
        <w:tc>
          <w:tcPr>
            <w:tcW w:w="1620" w:type="dxa"/>
            <w:tcBorders>
              <w:top w:val="single" w:sz="4" w:space="0" w:color="auto"/>
              <w:left w:val="single" w:sz="4" w:space="0" w:color="auto"/>
              <w:bottom w:val="single" w:sz="4" w:space="0" w:color="auto"/>
              <w:right w:val="single" w:sz="4" w:space="0" w:color="auto"/>
            </w:tcBorders>
            <w:hideMark/>
          </w:tcPr>
          <w:p w14:paraId="56E74108" w14:textId="77777777" w:rsidR="005F2EB2" w:rsidRPr="00FA30B2" w:rsidRDefault="00AF55DE" w:rsidP="62385CB5">
            <w:pPr>
              <w:pStyle w:val="NoSpacing"/>
              <w:rPr>
                <w:rFonts w:ascii="Arial" w:hAnsi="Arial" w:cs="Arial"/>
                <w:sz w:val="20"/>
                <w:szCs w:val="20"/>
              </w:rPr>
            </w:pPr>
            <w:r w:rsidRPr="62385CB5">
              <w:rPr>
                <w:rFonts w:ascii="Arial" w:hAnsi="Arial" w:cs="Arial"/>
                <w:sz w:val="20"/>
                <w:szCs w:val="20"/>
              </w:rPr>
              <w:t>New businesses established by Boost</w:t>
            </w:r>
          </w:p>
        </w:tc>
        <w:tc>
          <w:tcPr>
            <w:tcW w:w="870" w:type="dxa"/>
            <w:tcBorders>
              <w:top w:val="single" w:sz="4" w:space="0" w:color="auto"/>
              <w:left w:val="single" w:sz="4" w:space="0" w:color="auto"/>
              <w:bottom w:val="single" w:sz="4" w:space="0" w:color="auto"/>
              <w:right w:val="single" w:sz="4" w:space="0" w:color="auto"/>
            </w:tcBorders>
            <w:hideMark/>
          </w:tcPr>
          <w:p w14:paraId="00B6B36A" w14:textId="04B47B90" w:rsidR="005F2EB2" w:rsidRPr="00FA30B2" w:rsidRDefault="00AF55DE" w:rsidP="62385CB5">
            <w:pPr>
              <w:pStyle w:val="NoSpacing"/>
              <w:rPr>
                <w:rFonts w:ascii="Arial" w:hAnsi="Arial" w:cs="Arial"/>
                <w:sz w:val="20"/>
                <w:szCs w:val="20"/>
              </w:rPr>
            </w:pPr>
            <w:r w:rsidRPr="78C3123E">
              <w:rPr>
                <w:rFonts w:ascii="Arial" w:hAnsi="Arial" w:cs="Arial"/>
                <w:sz w:val="20"/>
                <w:szCs w:val="20"/>
              </w:rPr>
              <w:t>Quart</w:t>
            </w:r>
            <w:r w:rsidR="36F25B16" w:rsidRPr="78C3123E">
              <w:rPr>
                <w:rFonts w:ascii="Arial" w:hAnsi="Arial" w:cs="Arial"/>
                <w:sz w:val="20"/>
                <w:szCs w:val="20"/>
              </w:rPr>
              <w:t>’</w:t>
            </w:r>
            <w:r w:rsidRPr="78C3123E">
              <w:rPr>
                <w:rFonts w:ascii="Arial" w:hAnsi="Arial" w:cs="Arial"/>
                <w:sz w:val="20"/>
                <w:szCs w:val="20"/>
              </w:rPr>
              <w:t>y</w:t>
            </w:r>
          </w:p>
        </w:tc>
        <w:tc>
          <w:tcPr>
            <w:tcW w:w="1680" w:type="dxa"/>
            <w:tcBorders>
              <w:top w:val="single" w:sz="4" w:space="0" w:color="auto"/>
              <w:left w:val="single" w:sz="4" w:space="0" w:color="auto"/>
              <w:bottom w:val="single" w:sz="4" w:space="0" w:color="auto"/>
              <w:right w:val="single" w:sz="4" w:space="0" w:color="auto"/>
            </w:tcBorders>
          </w:tcPr>
          <w:p w14:paraId="7C0DA55F" w14:textId="77777777" w:rsidR="005F2EB2" w:rsidRPr="00FA30B2" w:rsidRDefault="00AF55DE" w:rsidP="62385CB5">
            <w:pPr>
              <w:pStyle w:val="NoSpacing"/>
              <w:rPr>
                <w:rFonts w:ascii="Arial" w:hAnsi="Arial" w:cs="Arial"/>
                <w:sz w:val="20"/>
                <w:szCs w:val="20"/>
              </w:rPr>
            </w:pPr>
            <w:r w:rsidRPr="62385CB5">
              <w:rPr>
                <w:rFonts w:ascii="Arial" w:hAnsi="Arial" w:cs="Arial"/>
                <w:sz w:val="20"/>
                <w:szCs w:val="20"/>
              </w:rPr>
              <w:t>Growth, Environment &amp; Transport</w:t>
            </w:r>
          </w:p>
        </w:tc>
        <w:tc>
          <w:tcPr>
            <w:tcW w:w="780" w:type="dxa"/>
            <w:tcBorders>
              <w:top w:val="single" w:sz="4" w:space="0" w:color="auto"/>
              <w:left w:val="single" w:sz="4" w:space="0" w:color="auto"/>
              <w:bottom w:val="single" w:sz="4" w:space="0" w:color="auto"/>
              <w:right w:val="single" w:sz="4" w:space="0" w:color="auto"/>
            </w:tcBorders>
          </w:tcPr>
          <w:p w14:paraId="328E32BD" w14:textId="77777777" w:rsidR="005F2EB2" w:rsidRDefault="005F2EB2" w:rsidP="62385CB5">
            <w:pPr>
              <w:pStyle w:val="NoSpacing"/>
              <w:rPr>
                <w:rFonts w:ascii="Arial" w:hAnsi="Arial" w:cs="Arial"/>
                <w:sz w:val="20"/>
                <w:szCs w:val="20"/>
              </w:rPr>
            </w:pPr>
          </w:p>
          <w:p w14:paraId="143D3A08" w14:textId="77777777" w:rsidR="005F2EB2" w:rsidRPr="00FA30B2" w:rsidRDefault="00AF55DE" w:rsidP="62385CB5">
            <w:pPr>
              <w:pStyle w:val="NoSpacing"/>
              <w:rPr>
                <w:rFonts w:ascii="Arial" w:hAnsi="Arial" w:cs="Arial"/>
                <w:sz w:val="20"/>
                <w:szCs w:val="20"/>
              </w:rPr>
            </w:pPr>
            <w:r w:rsidRPr="62385CB5">
              <w:rPr>
                <w:rFonts w:ascii="Arial" w:hAnsi="Arial" w:cs="Arial"/>
                <w:sz w:val="20"/>
                <w:szCs w:val="20"/>
              </w:rPr>
              <w:t>On target</w:t>
            </w:r>
          </w:p>
        </w:tc>
        <w:tc>
          <w:tcPr>
            <w:tcW w:w="1365" w:type="dxa"/>
            <w:tcBorders>
              <w:top w:val="single" w:sz="4" w:space="0" w:color="auto"/>
              <w:left w:val="nil"/>
              <w:bottom w:val="single" w:sz="8" w:space="0" w:color="auto"/>
              <w:right w:val="single" w:sz="8" w:space="0" w:color="auto"/>
            </w:tcBorders>
            <w:shd w:val="clear" w:color="auto" w:fill="C5E0B3" w:themeFill="accent6" w:themeFillTint="66"/>
          </w:tcPr>
          <w:p w14:paraId="0D75BCFC" w14:textId="49897D72" w:rsidR="005F2EB2" w:rsidRPr="00A96B3C" w:rsidRDefault="00AF55DE" w:rsidP="62385CB5">
            <w:pPr>
              <w:pStyle w:val="NoSpacing"/>
              <w:jc w:val="center"/>
              <w:rPr>
                <w:rFonts w:ascii="Arial" w:hAnsi="Arial" w:cs="Arial"/>
                <w:sz w:val="20"/>
                <w:szCs w:val="20"/>
              </w:rPr>
            </w:pPr>
            <w:r w:rsidRPr="62385CB5">
              <w:rPr>
                <w:rFonts w:ascii="Arial" w:hAnsi="Arial" w:cs="Arial"/>
                <w:sz w:val="20"/>
                <w:szCs w:val="20"/>
              </w:rPr>
              <w:t>25 new businesses</w:t>
            </w:r>
          </w:p>
          <w:p w14:paraId="78DFB90E" w14:textId="77777777" w:rsidR="005F2EB2" w:rsidRPr="00A96B3C" w:rsidRDefault="00AF55DE" w:rsidP="62385CB5">
            <w:pPr>
              <w:pStyle w:val="NoSpacing"/>
              <w:jc w:val="center"/>
              <w:rPr>
                <w:rFonts w:ascii="Arial" w:hAnsi="Arial" w:cs="Arial"/>
                <w:sz w:val="20"/>
                <w:szCs w:val="20"/>
              </w:rPr>
            </w:pPr>
            <w:r w:rsidRPr="62385CB5">
              <w:rPr>
                <w:rFonts w:ascii="Arial" w:hAnsi="Arial" w:cs="Arial"/>
                <w:sz w:val="20"/>
                <w:szCs w:val="20"/>
              </w:rPr>
              <w:t>Target 25</w:t>
            </w:r>
          </w:p>
        </w:tc>
        <w:tc>
          <w:tcPr>
            <w:tcW w:w="1354" w:type="dxa"/>
            <w:tcBorders>
              <w:top w:val="single" w:sz="4" w:space="0" w:color="auto"/>
              <w:left w:val="single" w:sz="4" w:space="0" w:color="auto"/>
              <w:bottom w:val="single" w:sz="4" w:space="0" w:color="auto"/>
              <w:right w:val="single" w:sz="4" w:space="0" w:color="auto"/>
            </w:tcBorders>
            <w:shd w:val="clear" w:color="auto" w:fill="FF0000"/>
          </w:tcPr>
          <w:p w14:paraId="39CB400D" w14:textId="741620AA" w:rsidR="005F2EB2" w:rsidRPr="001C09B2" w:rsidRDefault="00AF55DE" w:rsidP="78C3123E">
            <w:pPr>
              <w:pStyle w:val="NoSpacing"/>
              <w:jc w:val="center"/>
              <w:rPr>
                <w:rFonts w:ascii="Arial" w:hAnsi="Arial" w:cs="Arial"/>
                <w:color w:val="FFFFFF" w:themeColor="background1"/>
                <w:sz w:val="20"/>
                <w:szCs w:val="20"/>
              </w:rPr>
            </w:pPr>
            <w:r w:rsidRPr="78C3123E">
              <w:rPr>
                <w:rFonts w:ascii="Arial" w:hAnsi="Arial" w:cs="Arial"/>
                <w:color w:val="FFFFFF" w:themeColor="background1"/>
                <w:sz w:val="20"/>
                <w:szCs w:val="20"/>
              </w:rPr>
              <w:t>3 new businesses</w:t>
            </w:r>
          </w:p>
          <w:p w14:paraId="45651734" w14:textId="77777777" w:rsidR="005F2EB2" w:rsidRPr="001C09B2" w:rsidRDefault="00AF55DE" w:rsidP="78C3123E">
            <w:pPr>
              <w:pStyle w:val="NoSpacing"/>
              <w:jc w:val="center"/>
              <w:rPr>
                <w:rFonts w:ascii="Arial" w:hAnsi="Arial" w:cs="Arial"/>
                <w:color w:val="FFFFFF" w:themeColor="background1"/>
                <w:sz w:val="20"/>
                <w:szCs w:val="20"/>
              </w:rPr>
            </w:pPr>
            <w:r w:rsidRPr="78C3123E">
              <w:rPr>
                <w:rFonts w:ascii="Arial" w:hAnsi="Arial" w:cs="Arial"/>
                <w:color w:val="FFFFFF" w:themeColor="background1"/>
                <w:sz w:val="20"/>
                <w:szCs w:val="20"/>
              </w:rPr>
              <w:t>Target 15</w:t>
            </w:r>
          </w:p>
        </w:tc>
        <w:tc>
          <w:tcPr>
            <w:tcW w:w="1286" w:type="dxa"/>
            <w:tcBorders>
              <w:top w:val="single" w:sz="4" w:space="0" w:color="auto"/>
              <w:left w:val="single" w:sz="4" w:space="0" w:color="auto"/>
              <w:bottom w:val="single" w:sz="4" w:space="0" w:color="auto"/>
              <w:right w:val="single" w:sz="4" w:space="0" w:color="auto"/>
            </w:tcBorders>
            <w:shd w:val="clear" w:color="auto" w:fill="FF0000"/>
          </w:tcPr>
          <w:p w14:paraId="5237EF9F" w14:textId="7A95FAF4" w:rsidR="005F2EB2" w:rsidRPr="00FA30B2" w:rsidRDefault="00AF55DE" w:rsidP="78C3123E">
            <w:pPr>
              <w:pStyle w:val="NoSpacing"/>
              <w:jc w:val="center"/>
              <w:rPr>
                <w:rFonts w:ascii="Arial" w:hAnsi="Arial" w:cs="Arial"/>
                <w:color w:val="FFFFFF" w:themeColor="background1"/>
                <w:sz w:val="20"/>
                <w:szCs w:val="20"/>
              </w:rPr>
            </w:pPr>
            <w:r w:rsidRPr="78C3123E">
              <w:rPr>
                <w:rFonts w:ascii="Arial" w:hAnsi="Arial" w:cs="Arial"/>
                <w:color w:val="FFFFFF" w:themeColor="background1"/>
                <w:sz w:val="20"/>
                <w:szCs w:val="20"/>
              </w:rPr>
              <w:t>8 new businesses</w:t>
            </w:r>
            <w:r w:rsidR="44B80BB5" w:rsidRPr="78C3123E">
              <w:rPr>
                <w:rFonts w:ascii="Arial" w:hAnsi="Arial" w:cs="Arial"/>
                <w:color w:val="FFFFFF" w:themeColor="background1"/>
                <w:sz w:val="20"/>
                <w:szCs w:val="20"/>
              </w:rPr>
              <w:t xml:space="preserve"> </w:t>
            </w:r>
            <w:r w:rsidRPr="78C3123E">
              <w:rPr>
                <w:rFonts w:ascii="Arial" w:hAnsi="Arial" w:cs="Arial"/>
                <w:color w:val="FFFFFF" w:themeColor="background1"/>
                <w:sz w:val="20"/>
                <w:szCs w:val="20"/>
              </w:rPr>
              <w:t>Target 20</w:t>
            </w:r>
          </w:p>
        </w:tc>
        <w:tc>
          <w:tcPr>
            <w:tcW w:w="133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6F07669" w14:textId="0ECDB0EE" w:rsidR="005F2EB2" w:rsidRPr="00FA30B2" w:rsidRDefault="00AF55DE" w:rsidP="62385CB5">
            <w:pPr>
              <w:pStyle w:val="NoSpacing"/>
              <w:jc w:val="center"/>
              <w:rPr>
                <w:rFonts w:ascii="Arial" w:hAnsi="Arial" w:cs="Arial"/>
                <w:sz w:val="20"/>
                <w:szCs w:val="20"/>
              </w:rPr>
            </w:pPr>
            <w:r w:rsidRPr="62385CB5">
              <w:rPr>
                <w:rFonts w:ascii="Arial" w:hAnsi="Arial" w:cs="Arial"/>
                <w:sz w:val="20"/>
                <w:szCs w:val="20"/>
              </w:rPr>
              <w:t>26 new businesses Target 20</w:t>
            </w:r>
          </w:p>
        </w:tc>
        <w:tc>
          <w:tcPr>
            <w:tcW w:w="126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622FCE0" w14:textId="068CB4CA" w:rsidR="005F2EB2" w:rsidRPr="00A27737" w:rsidRDefault="00AF55DE" w:rsidP="62385CB5">
            <w:pPr>
              <w:pStyle w:val="NoSpacing"/>
              <w:jc w:val="center"/>
              <w:rPr>
                <w:rFonts w:ascii="Arial" w:hAnsi="Arial" w:cs="Arial"/>
                <w:sz w:val="20"/>
                <w:szCs w:val="20"/>
              </w:rPr>
            </w:pPr>
            <w:r w:rsidRPr="62385CB5">
              <w:rPr>
                <w:rFonts w:ascii="Arial" w:hAnsi="Arial" w:cs="Arial"/>
                <w:color w:val="000000" w:themeColor="text1"/>
                <w:sz w:val="20"/>
                <w:szCs w:val="20"/>
                <w:lang w:eastAsia="en-GB"/>
              </w:rPr>
              <w:t xml:space="preserve">40 </w:t>
            </w:r>
            <w:r w:rsidRPr="62385CB5">
              <w:rPr>
                <w:rFonts w:ascii="Arial" w:hAnsi="Arial" w:cs="Arial"/>
                <w:color w:val="000000" w:themeColor="text1"/>
                <w:sz w:val="20"/>
                <w:szCs w:val="20"/>
                <w:lang w:eastAsia="en-GB"/>
              </w:rPr>
              <w:t>new businesses Target 10</w:t>
            </w:r>
          </w:p>
        </w:tc>
        <w:tc>
          <w:tcPr>
            <w:tcW w:w="136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0CD14BB" w14:textId="567A7B25" w:rsidR="0CF1EE9E" w:rsidRDefault="00AF55DE" w:rsidP="62385CB5">
            <w:pPr>
              <w:pStyle w:val="NoSpacing"/>
              <w:jc w:val="center"/>
              <w:rPr>
                <w:rFonts w:ascii="Arial" w:hAnsi="Arial" w:cs="Arial"/>
                <w:sz w:val="20"/>
                <w:szCs w:val="20"/>
              </w:rPr>
            </w:pPr>
            <w:r w:rsidRPr="62385CB5">
              <w:rPr>
                <w:rFonts w:ascii="Arial" w:hAnsi="Arial" w:cs="Arial"/>
                <w:sz w:val="20"/>
                <w:szCs w:val="20"/>
              </w:rPr>
              <w:t>54 new businesses</w:t>
            </w:r>
          </w:p>
          <w:p w14:paraId="32DA1007" w14:textId="20DE8B6F" w:rsidR="0CF1EE9E" w:rsidRDefault="00AF55DE" w:rsidP="62385CB5">
            <w:pPr>
              <w:pStyle w:val="NoSpacing"/>
              <w:jc w:val="center"/>
              <w:rPr>
                <w:rFonts w:ascii="Arial" w:hAnsi="Arial" w:cs="Arial"/>
                <w:sz w:val="20"/>
                <w:szCs w:val="20"/>
              </w:rPr>
            </w:pPr>
            <w:r w:rsidRPr="62385CB5">
              <w:rPr>
                <w:rFonts w:ascii="Arial" w:hAnsi="Arial" w:cs="Arial"/>
                <w:sz w:val="20"/>
                <w:szCs w:val="20"/>
              </w:rPr>
              <w:t>Target 5</w:t>
            </w:r>
          </w:p>
        </w:tc>
        <w:tc>
          <w:tcPr>
            <w:tcW w:w="1436" w:type="dxa"/>
            <w:tcBorders>
              <w:top w:val="single" w:sz="4" w:space="0" w:color="auto"/>
              <w:left w:val="single" w:sz="4" w:space="0" w:color="auto"/>
              <w:bottom w:val="single" w:sz="4" w:space="0" w:color="auto"/>
              <w:right w:val="single" w:sz="4" w:space="0" w:color="auto"/>
            </w:tcBorders>
          </w:tcPr>
          <w:p w14:paraId="11FB7735" w14:textId="0F3E5A83" w:rsidR="005F2EB2" w:rsidRPr="00FA30B2" w:rsidRDefault="00AF55DE" w:rsidP="62385CB5">
            <w:pPr>
              <w:pStyle w:val="NoSpacing"/>
              <w:jc w:val="center"/>
              <w:rPr>
                <w:rFonts w:ascii="Arial" w:hAnsi="Arial" w:cs="Arial"/>
                <w:sz w:val="20"/>
                <w:szCs w:val="20"/>
              </w:rPr>
            </w:pPr>
            <w:r w:rsidRPr="62385CB5">
              <w:rPr>
                <w:rFonts w:ascii="Arial" w:hAnsi="Arial" w:cs="Arial"/>
                <w:sz w:val="20"/>
                <w:szCs w:val="20"/>
              </w:rPr>
              <w:t>200 new businesses Jan 2019 - Dec 2022</w:t>
            </w:r>
          </w:p>
        </w:tc>
      </w:tr>
    </w:tbl>
    <w:p w14:paraId="70323833" w14:textId="77777777" w:rsidR="009E3657" w:rsidRDefault="009E3657" w:rsidP="0030579F">
      <w:pPr>
        <w:rPr>
          <w:lang w:eastAsia="en-GB"/>
        </w:rPr>
      </w:pPr>
    </w:p>
    <w:p w14:paraId="40304079" w14:textId="4EFCAA45" w:rsidR="000C1365" w:rsidRPr="00A766E4" w:rsidRDefault="00AF55DE" w:rsidP="62385CB5">
      <w:r w:rsidRPr="78C3123E">
        <w:rPr>
          <w:rFonts w:eastAsia="Arial" w:cs="Arial"/>
          <w:b/>
          <w:bCs/>
          <w:color w:val="000000" w:themeColor="text1"/>
          <w:sz w:val="22"/>
          <w:szCs w:val="22"/>
        </w:rPr>
        <w:t xml:space="preserve">Rosebud.  </w:t>
      </w:r>
      <w:r w:rsidRPr="78C3123E">
        <w:rPr>
          <w:rFonts w:eastAsia="Arial" w:cs="Arial"/>
          <w:color w:val="000000" w:themeColor="text1"/>
          <w:sz w:val="22"/>
          <w:szCs w:val="22"/>
        </w:rPr>
        <w:t xml:space="preserve">Challenging trading conditions </w:t>
      </w:r>
      <w:r w:rsidR="74133DE8" w:rsidRPr="78C3123E">
        <w:rPr>
          <w:rFonts w:eastAsia="Arial" w:cs="Arial"/>
          <w:color w:val="000000" w:themeColor="text1"/>
          <w:sz w:val="22"/>
          <w:szCs w:val="22"/>
        </w:rPr>
        <w:t xml:space="preserve">are currently in place for </w:t>
      </w:r>
      <w:r w:rsidRPr="78C3123E">
        <w:rPr>
          <w:rFonts w:eastAsia="Arial" w:cs="Arial"/>
          <w:color w:val="000000" w:themeColor="text1"/>
          <w:sz w:val="22"/>
          <w:szCs w:val="22"/>
        </w:rPr>
        <w:t>Rosebud</w:t>
      </w:r>
      <w:r w:rsidR="6807D92A" w:rsidRPr="78C3123E">
        <w:rPr>
          <w:rFonts w:eastAsia="Arial" w:cs="Arial"/>
          <w:color w:val="000000" w:themeColor="text1"/>
          <w:sz w:val="22"/>
          <w:szCs w:val="22"/>
        </w:rPr>
        <w:t>.</w:t>
      </w:r>
      <w:r w:rsidR="49B72832" w:rsidRPr="78C3123E">
        <w:rPr>
          <w:rFonts w:eastAsia="Arial" w:cs="Arial"/>
          <w:color w:val="000000" w:themeColor="text1"/>
          <w:sz w:val="22"/>
          <w:szCs w:val="22"/>
        </w:rPr>
        <w:t xml:space="preserve"> </w:t>
      </w:r>
      <w:r w:rsidR="3BFA85B7" w:rsidRPr="78C3123E">
        <w:rPr>
          <w:rFonts w:eastAsia="Arial" w:cs="Arial"/>
          <w:color w:val="000000" w:themeColor="text1"/>
          <w:sz w:val="22"/>
          <w:szCs w:val="22"/>
        </w:rPr>
        <w:t>S</w:t>
      </w:r>
      <w:r w:rsidRPr="78C3123E">
        <w:rPr>
          <w:rFonts w:eastAsia="Arial" w:cs="Arial"/>
          <w:color w:val="000000" w:themeColor="text1"/>
          <w:sz w:val="22"/>
          <w:szCs w:val="22"/>
        </w:rPr>
        <w:t xml:space="preserve">imilar </w:t>
      </w:r>
      <w:r w:rsidR="557C5134" w:rsidRPr="78C3123E">
        <w:rPr>
          <w:rFonts w:eastAsia="Arial" w:cs="Arial"/>
          <w:color w:val="000000" w:themeColor="text1"/>
          <w:sz w:val="22"/>
          <w:szCs w:val="22"/>
        </w:rPr>
        <w:t>and other</w:t>
      </w:r>
      <w:r w:rsidRPr="78C3123E">
        <w:rPr>
          <w:rFonts w:eastAsia="Arial" w:cs="Arial"/>
          <w:color w:val="000000" w:themeColor="text1"/>
          <w:sz w:val="22"/>
          <w:szCs w:val="22"/>
        </w:rPr>
        <w:t xml:space="preserve"> alternative loan products </w:t>
      </w:r>
      <w:r w:rsidR="4B8C6A01" w:rsidRPr="78C3123E">
        <w:rPr>
          <w:rFonts w:eastAsia="Arial" w:cs="Arial"/>
          <w:color w:val="000000" w:themeColor="text1"/>
          <w:sz w:val="22"/>
          <w:szCs w:val="22"/>
        </w:rPr>
        <w:t xml:space="preserve">are </w:t>
      </w:r>
      <w:r w:rsidRPr="78C3123E">
        <w:rPr>
          <w:rFonts w:eastAsia="Arial" w:cs="Arial"/>
          <w:color w:val="000000" w:themeColor="text1"/>
          <w:sz w:val="22"/>
          <w:szCs w:val="22"/>
        </w:rPr>
        <w:t xml:space="preserve">on the market </w:t>
      </w:r>
      <w:r w:rsidR="6EEEE4D6" w:rsidRPr="78C3123E">
        <w:rPr>
          <w:rFonts w:eastAsia="Arial" w:cs="Arial"/>
          <w:color w:val="000000" w:themeColor="text1"/>
          <w:sz w:val="22"/>
          <w:szCs w:val="22"/>
        </w:rPr>
        <w:t>and</w:t>
      </w:r>
      <w:r w:rsidRPr="78C3123E">
        <w:rPr>
          <w:rFonts w:eastAsia="Arial" w:cs="Arial"/>
          <w:color w:val="000000" w:themeColor="text1"/>
          <w:sz w:val="22"/>
          <w:szCs w:val="22"/>
        </w:rPr>
        <w:t xml:space="preserve"> the appetite for term debt borrowing is very low due to more incentivised government loan products taking precedence</w:t>
      </w:r>
      <w:r w:rsidR="41091ED7" w:rsidRPr="78C3123E">
        <w:rPr>
          <w:rFonts w:eastAsia="Arial" w:cs="Arial"/>
          <w:color w:val="000000" w:themeColor="text1"/>
          <w:sz w:val="22"/>
          <w:szCs w:val="22"/>
        </w:rPr>
        <w:t>.</w:t>
      </w:r>
      <w:r w:rsidRPr="78C3123E">
        <w:rPr>
          <w:rFonts w:eastAsia="Arial" w:cs="Arial"/>
          <w:color w:val="000000" w:themeColor="text1"/>
          <w:sz w:val="22"/>
          <w:szCs w:val="22"/>
        </w:rPr>
        <w:t xml:space="preserve"> </w:t>
      </w:r>
      <w:r w:rsidR="0758C479" w:rsidRPr="78C3123E">
        <w:rPr>
          <w:rFonts w:eastAsia="Arial" w:cs="Arial"/>
          <w:color w:val="000000" w:themeColor="text1"/>
          <w:sz w:val="22"/>
          <w:szCs w:val="22"/>
        </w:rPr>
        <w:t>Bu</w:t>
      </w:r>
      <w:r w:rsidRPr="78C3123E">
        <w:rPr>
          <w:rFonts w:eastAsia="Arial" w:cs="Arial"/>
          <w:color w:val="000000" w:themeColor="text1"/>
          <w:sz w:val="22"/>
          <w:szCs w:val="22"/>
        </w:rPr>
        <w:t xml:space="preserve">sinesses </w:t>
      </w:r>
      <w:r w:rsidR="440C5624" w:rsidRPr="78C3123E">
        <w:rPr>
          <w:rFonts w:eastAsia="Arial" w:cs="Arial"/>
          <w:color w:val="000000" w:themeColor="text1"/>
          <w:sz w:val="22"/>
          <w:szCs w:val="22"/>
        </w:rPr>
        <w:t xml:space="preserve">are also </w:t>
      </w:r>
      <w:r w:rsidRPr="78C3123E">
        <w:rPr>
          <w:rFonts w:eastAsia="Arial" w:cs="Arial"/>
          <w:color w:val="000000" w:themeColor="text1"/>
          <w:sz w:val="22"/>
          <w:szCs w:val="22"/>
        </w:rPr>
        <w:t xml:space="preserve">sitting on cash as a result of pandemic financial support provided by the government. Whilst the performance in this quarter is encouraging it </w:t>
      </w:r>
      <w:r w:rsidR="1D2129B1" w:rsidRPr="78C3123E">
        <w:rPr>
          <w:rFonts w:eastAsia="Arial" w:cs="Arial"/>
          <w:color w:val="000000" w:themeColor="text1"/>
          <w:sz w:val="22"/>
          <w:szCs w:val="22"/>
        </w:rPr>
        <w:t>is due to</w:t>
      </w:r>
      <w:r w:rsidRPr="78C3123E">
        <w:rPr>
          <w:rFonts w:eastAsia="Arial" w:cs="Arial"/>
          <w:color w:val="000000" w:themeColor="text1"/>
          <w:sz w:val="22"/>
          <w:szCs w:val="22"/>
        </w:rPr>
        <w:t xml:space="preserve"> deals taking longer to be completed and off the back of 2020</w:t>
      </w:r>
      <w:r w:rsidR="68AE100D" w:rsidRPr="78C3123E">
        <w:rPr>
          <w:rFonts w:eastAsia="Arial" w:cs="Arial"/>
          <w:color w:val="000000" w:themeColor="text1"/>
          <w:sz w:val="22"/>
          <w:szCs w:val="22"/>
        </w:rPr>
        <w:t>/21</w:t>
      </w:r>
      <w:r w:rsidRPr="78C3123E">
        <w:rPr>
          <w:rFonts w:eastAsia="Arial" w:cs="Arial"/>
          <w:color w:val="000000" w:themeColor="text1"/>
          <w:sz w:val="22"/>
          <w:szCs w:val="22"/>
        </w:rPr>
        <w:t xml:space="preserve"> Q</w:t>
      </w:r>
      <w:r w:rsidR="0270A46F" w:rsidRPr="78C3123E">
        <w:rPr>
          <w:rFonts w:eastAsia="Arial" w:cs="Arial"/>
          <w:color w:val="000000" w:themeColor="text1"/>
          <w:sz w:val="22"/>
          <w:szCs w:val="22"/>
        </w:rPr>
        <w:t xml:space="preserve">uarter </w:t>
      </w:r>
      <w:r w:rsidRPr="78C3123E">
        <w:rPr>
          <w:rFonts w:eastAsia="Arial" w:cs="Arial"/>
          <w:color w:val="000000" w:themeColor="text1"/>
          <w:sz w:val="22"/>
          <w:szCs w:val="22"/>
        </w:rPr>
        <w:t xml:space="preserve">4 being a </w:t>
      </w:r>
      <w:r w:rsidR="0013B542" w:rsidRPr="78C3123E">
        <w:rPr>
          <w:rFonts w:eastAsia="Arial" w:cs="Arial"/>
          <w:color w:val="000000" w:themeColor="text1"/>
          <w:sz w:val="22"/>
          <w:szCs w:val="22"/>
        </w:rPr>
        <w:t>zero-investment</w:t>
      </w:r>
      <w:r w:rsidRPr="78C3123E">
        <w:rPr>
          <w:rFonts w:eastAsia="Arial" w:cs="Arial"/>
          <w:color w:val="000000" w:themeColor="text1"/>
          <w:sz w:val="22"/>
          <w:szCs w:val="22"/>
        </w:rPr>
        <w:t xml:space="preserve"> perio</w:t>
      </w:r>
      <w:r w:rsidRPr="78C3123E">
        <w:rPr>
          <w:rFonts w:eastAsia="Arial" w:cs="Arial"/>
          <w:color w:val="000000" w:themeColor="text1"/>
          <w:sz w:val="22"/>
          <w:szCs w:val="22"/>
        </w:rPr>
        <w:t>d when these enquiries originally initiated. Whilst there is a pipeline of circa £900,000</w:t>
      </w:r>
      <w:r w:rsidR="11D962F1" w:rsidRPr="78C3123E">
        <w:rPr>
          <w:rFonts w:eastAsia="Arial" w:cs="Arial"/>
          <w:color w:val="000000" w:themeColor="text1"/>
          <w:sz w:val="22"/>
          <w:szCs w:val="22"/>
        </w:rPr>
        <w:t>,</w:t>
      </w:r>
      <w:r w:rsidRPr="78C3123E">
        <w:rPr>
          <w:rFonts w:eastAsia="Arial" w:cs="Arial"/>
          <w:color w:val="000000" w:themeColor="text1"/>
          <w:sz w:val="22"/>
          <w:szCs w:val="22"/>
        </w:rPr>
        <w:t xml:space="preserve"> trading conditions are anticipated to be tougher this coming year and therefore the forecast is currently</w:t>
      </w:r>
      <w:r w:rsidR="39A8C1DF" w:rsidRPr="78C3123E">
        <w:rPr>
          <w:rFonts w:eastAsia="Arial" w:cs="Arial"/>
          <w:color w:val="000000" w:themeColor="text1"/>
          <w:sz w:val="22"/>
          <w:szCs w:val="22"/>
        </w:rPr>
        <w:t xml:space="preserve"> </w:t>
      </w:r>
      <w:r w:rsidRPr="78C3123E">
        <w:rPr>
          <w:rFonts w:eastAsia="Arial" w:cs="Arial"/>
          <w:color w:val="000000" w:themeColor="text1"/>
          <w:sz w:val="22"/>
          <w:szCs w:val="22"/>
        </w:rPr>
        <w:t>being adjusted to reflect this.</w:t>
      </w:r>
      <w:r w:rsidR="705D5C39" w:rsidRPr="78C3123E">
        <w:rPr>
          <w:rFonts w:eastAsia="Arial" w:cs="Arial"/>
          <w:color w:val="000000" w:themeColor="text1"/>
          <w:sz w:val="22"/>
          <w:szCs w:val="22"/>
        </w:rPr>
        <w:t xml:space="preserve"> </w:t>
      </w:r>
      <w:r w:rsidRPr="78C3123E">
        <w:rPr>
          <w:rFonts w:eastAsia="Arial" w:cs="Arial"/>
          <w:color w:val="000000" w:themeColor="text1"/>
          <w:sz w:val="22"/>
          <w:szCs w:val="22"/>
        </w:rPr>
        <w:t>A further update will be pr</w:t>
      </w:r>
      <w:r w:rsidRPr="78C3123E">
        <w:rPr>
          <w:rFonts w:eastAsia="Arial" w:cs="Arial"/>
          <w:color w:val="000000" w:themeColor="text1"/>
          <w:sz w:val="22"/>
          <w:szCs w:val="22"/>
        </w:rPr>
        <w:t>ovided next</w:t>
      </w:r>
      <w:r w:rsidR="6D375B0D" w:rsidRPr="78C3123E">
        <w:rPr>
          <w:rFonts w:eastAsia="Arial" w:cs="Arial"/>
          <w:color w:val="000000" w:themeColor="text1"/>
          <w:sz w:val="22"/>
          <w:szCs w:val="22"/>
        </w:rPr>
        <w:t xml:space="preserve"> </w:t>
      </w:r>
      <w:r w:rsidRPr="78C3123E">
        <w:rPr>
          <w:rFonts w:eastAsia="Arial" w:cs="Arial"/>
          <w:color w:val="000000" w:themeColor="text1"/>
          <w:sz w:val="22"/>
          <w:szCs w:val="22"/>
        </w:rPr>
        <w:t>quarter.</w:t>
      </w:r>
    </w:p>
    <w:p w14:paraId="4F99B54D" w14:textId="1EDC09FF" w:rsidR="000C1365" w:rsidRPr="00A766E4" w:rsidRDefault="00AF55DE" w:rsidP="62385CB5">
      <w:pPr>
        <w:rPr>
          <w:rFonts w:eastAsia="Arial" w:cs="Arial"/>
          <w:b/>
          <w:bCs/>
          <w:color w:val="000000" w:themeColor="text1"/>
          <w:sz w:val="22"/>
          <w:szCs w:val="22"/>
        </w:rPr>
      </w:pPr>
      <w:r w:rsidRPr="62385CB5">
        <w:rPr>
          <w:rFonts w:eastAsia="Arial" w:cs="Arial"/>
          <w:b/>
          <w:bCs/>
          <w:color w:val="000000" w:themeColor="text1"/>
          <w:sz w:val="22"/>
          <w:szCs w:val="22"/>
        </w:rPr>
        <w:t xml:space="preserve">                                                                                                                                                </w:t>
      </w:r>
    </w:p>
    <w:p w14:paraId="7F7A4B6D" w14:textId="58B09A69" w:rsidR="000C1365" w:rsidRPr="00A766E4" w:rsidRDefault="00AF55DE" w:rsidP="62385CB5">
      <w:r w:rsidRPr="62385CB5">
        <w:rPr>
          <w:rFonts w:eastAsia="Arial" w:cs="Arial"/>
          <w:b/>
          <w:bCs/>
          <w:color w:val="000000" w:themeColor="text1"/>
          <w:sz w:val="22"/>
          <w:szCs w:val="22"/>
        </w:rPr>
        <w:t>Boost</w:t>
      </w:r>
      <w:r w:rsidRPr="62385CB5">
        <w:rPr>
          <w:rFonts w:eastAsia="Arial" w:cs="Arial"/>
          <w:color w:val="000000" w:themeColor="text1"/>
          <w:sz w:val="22"/>
          <w:szCs w:val="22"/>
        </w:rPr>
        <w:t xml:space="preserve"> </w:t>
      </w:r>
      <w:r w:rsidRPr="62385CB5">
        <w:rPr>
          <w:rFonts w:eastAsia="Arial" w:cs="Arial"/>
          <w:b/>
          <w:bCs/>
          <w:color w:val="000000" w:themeColor="text1"/>
          <w:sz w:val="22"/>
          <w:szCs w:val="22"/>
        </w:rPr>
        <w:t>ERDF Support</w:t>
      </w:r>
      <w:r w:rsidRPr="62385CB5">
        <w:rPr>
          <w:rFonts w:eastAsia="Arial" w:cs="Arial"/>
          <w:color w:val="000000" w:themeColor="text1"/>
          <w:sz w:val="22"/>
          <w:szCs w:val="22"/>
        </w:rPr>
        <w:t>. The Boost European Regional Development Fund (ERDF) core programme is targeted at supporting high growth businesses to achieve their potential. The decrease in outputs over the past year can be attributed to businesses responding to the pandemic, with th</w:t>
      </w:r>
      <w:r w:rsidRPr="62385CB5">
        <w:rPr>
          <w:rFonts w:eastAsia="Arial" w:cs="Arial"/>
          <w:color w:val="000000" w:themeColor="text1"/>
          <w:sz w:val="22"/>
          <w:szCs w:val="22"/>
        </w:rPr>
        <w:t xml:space="preserve">eir focus moving from growth to survival. Boost adapted their service offer to support those businesses through enquiry and advisor provision.   </w:t>
      </w:r>
    </w:p>
    <w:p w14:paraId="7E5EADD1" w14:textId="7E350802" w:rsidR="000C1365" w:rsidRPr="00A766E4" w:rsidRDefault="00AF55DE" w:rsidP="62385CB5">
      <w:pPr>
        <w:pStyle w:val="ListParagraph"/>
        <w:numPr>
          <w:ilvl w:val="0"/>
          <w:numId w:val="18"/>
        </w:numPr>
        <w:rPr>
          <w:rFonts w:asciiTheme="minorHAnsi" w:eastAsiaTheme="minorEastAsia" w:hAnsiTheme="minorHAnsi" w:cstheme="minorBidi"/>
          <w:color w:val="000000" w:themeColor="text1"/>
          <w:sz w:val="22"/>
          <w:szCs w:val="22"/>
        </w:rPr>
      </w:pPr>
      <w:r w:rsidRPr="62385CB5">
        <w:rPr>
          <w:rFonts w:eastAsia="Arial" w:cs="Arial"/>
          <w:color w:val="000000" w:themeColor="text1"/>
          <w:sz w:val="22"/>
          <w:szCs w:val="22"/>
        </w:rPr>
        <w:lastRenderedPageBreak/>
        <w:t xml:space="preserve">Enquiries for the 2020/21 financial year were 2,494 compared with enquiries for 2019/20 1,883. An increase of </w:t>
      </w:r>
      <w:r w:rsidRPr="62385CB5">
        <w:rPr>
          <w:rFonts w:eastAsia="Arial" w:cs="Arial"/>
          <w:color w:val="000000" w:themeColor="text1"/>
          <w:sz w:val="22"/>
          <w:szCs w:val="22"/>
        </w:rPr>
        <w:t xml:space="preserve">611 enquiries received by the Boost Team. </w:t>
      </w:r>
    </w:p>
    <w:p w14:paraId="764F67EE" w14:textId="130E3DC6" w:rsidR="000C1365" w:rsidRPr="00A766E4" w:rsidRDefault="00AF55DE" w:rsidP="62385CB5">
      <w:pPr>
        <w:pStyle w:val="ListParagraph"/>
        <w:numPr>
          <w:ilvl w:val="0"/>
          <w:numId w:val="18"/>
        </w:numPr>
        <w:rPr>
          <w:rFonts w:asciiTheme="minorHAnsi" w:eastAsiaTheme="minorEastAsia" w:hAnsiTheme="minorHAnsi" w:cstheme="minorBidi"/>
          <w:color w:val="000000" w:themeColor="text1"/>
          <w:sz w:val="22"/>
          <w:szCs w:val="22"/>
        </w:rPr>
      </w:pPr>
      <w:r w:rsidRPr="62385CB5">
        <w:rPr>
          <w:rFonts w:eastAsia="Arial" w:cs="Arial"/>
          <w:color w:val="000000" w:themeColor="text1"/>
          <w:sz w:val="22"/>
          <w:szCs w:val="22"/>
        </w:rPr>
        <w:t xml:space="preserve">Boost advisors have given over 2,000 hours of business support to over 1,600 businesses needing Covid advice and guidance. </w:t>
      </w:r>
    </w:p>
    <w:p w14:paraId="30CDA030" w14:textId="062BF15A" w:rsidR="000C1365" w:rsidRPr="00A766E4" w:rsidRDefault="00AF55DE" w:rsidP="62385CB5">
      <w:r w:rsidRPr="62385CB5">
        <w:rPr>
          <w:rFonts w:eastAsia="Arial" w:cs="Arial"/>
          <w:color w:val="000000" w:themeColor="text1"/>
          <w:sz w:val="22"/>
          <w:szCs w:val="22"/>
        </w:rPr>
        <w:t>For April-June 2021, the outputs have started to recover to pre-pandemic levels with outp</w:t>
      </w:r>
      <w:r w:rsidRPr="62385CB5">
        <w:rPr>
          <w:rFonts w:eastAsia="Arial" w:cs="Arial"/>
          <w:color w:val="000000" w:themeColor="text1"/>
          <w:sz w:val="22"/>
          <w:szCs w:val="22"/>
        </w:rPr>
        <w:t>uts focusing on business growth such as jobs and new businesses, starting to recover from the effects of the pandemic.</w:t>
      </w:r>
    </w:p>
    <w:p w14:paraId="4401774C" w14:textId="6EB78F10" w:rsidR="000C1365" w:rsidRPr="00A766E4" w:rsidRDefault="00AF55DE" w:rsidP="62385CB5">
      <w:r w:rsidRPr="62385CB5">
        <w:rPr>
          <w:rFonts w:eastAsia="Arial" w:cs="Arial"/>
          <w:b/>
          <w:bCs/>
          <w:color w:val="000000" w:themeColor="text1"/>
          <w:sz w:val="22"/>
          <w:szCs w:val="22"/>
        </w:rPr>
        <w:t xml:space="preserve">Boost Recovery Grants.  </w:t>
      </w:r>
      <w:r w:rsidRPr="62385CB5">
        <w:rPr>
          <w:rFonts w:eastAsia="Arial" w:cs="Arial"/>
          <w:color w:val="000000" w:themeColor="text1"/>
          <w:sz w:val="22"/>
          <w:szCs w:val="22"/>
        </w:rPr>
        <w:t>Under the umbrella of the Boost ERDF project the Business Growth and Innovation service set up from scratch and i</w:t>
      </w:r>
      <w:r w:rsidRPr="62385CB5">
        <w:rPr>
          <w:rFonts w:eastAsia="Arial" w:cs="Arial"/>
          <w:color w:val="000000" w:themeColor="text1"/>
          <w:sz w:val="22"/>
          <w:szCs w:val="22"/>
        </w:rPr>
        <w:t>mplemented a small capital grants programme to support Lancashire SMEs in their response to the impact of the pandemic. This involved the review of over 1,000 Expressions of Interest and the issuing of 500+ Application Forms to eligible businesses in the c</w:t>
      </w:r>
      <w:r w:rsidRPr="62385CB5">
        <w:rPr>
          <w:rFonts w:eastAsia="Arial" w:cs="Arial"/>
          <w:color w:val="000000" w:themeColor="text1"/>
          <w:sz w:val="22"/>
          <w:szCs w:val="22"/>
        </w:rPr>
        <w:t xml:space="preserve">ounty council, Blackburn with Darwen, and Blackpool areas. This was in addition to the planned work priorities of the service. </w:t>
      </w:r>
    </w:p>
    <w:p w14:paraId="2C71DC41" w14:textId="65E8EBC2" w:rsidR="000C1365" w:rsidRPr="00A766E4" w:rsidRDefault="00AF55DE" w:rsidP="62385CB5">
      <w:r w:rsidRPr="62385CB5">
        <w:rPr>
          <w:rFonts w:eastAsia="Arial" w:cs="Arial"/>
          <w:color w:val="000000" w:themeColor="text1"/>
          <w:sz w:val="22"/>
          <w:szCs w:val="22"/>
        </w:rPr>
        <w:t xml:space="preserve">The Expression of Interest was released in August 2020 with full applications being distributed from September. </w:t>
      </w:r>
    </w:p>
    <w:p w14:paraId="0670469C" w14:textId="239BF981" w:rsidR="000C1365" w:rsidRPr="001E31D4" w:rsidRDefault="00AF55DE" w:rsidP="62385CB5">
      <w:pPr>
        <w:rPr>
          <w:rFonts w:eastAsia="Arial" w:cs="Arial"/>
          <w:color w:val="000000" w:themeColor="text1"/>
          <w:sz w:val="22"/>
          <w:szCs w:val="22"/>
        </w:rPr>
      </w:pPr>
      <w:r w:rsidRPr="78C3123E">
        <w:rPr>
          <w:rFonts w:eastAsia="Arial" w:cs="Arial"/>
          <w:color w:val="000000" w:themeColor="text1"/>
          <w:sz w:val="22"/>
          <w:szCs w:val="22"/>
        </w:rPr>
        <w:t>Most of</w:t>
      </w:r>
      <w:r w:rsidR="25B9C390" w:rsidRPr="78C3123E">
        <w:rPr>
          <w:rFonts w:eastAsia="Arial" w:cs="Arial"/>
          <w:color w:val="000000" w:themeColor="text1"/>
          <w:sz w:val="22"/>
          <w:szCs w:val="22"/>
        </w:rPr>
        <w:t xml:space="preserve"> the grant defrayal was completed before the end of March 2021 with many staff across the team working hard to distribute the money to grateful businesses. To the end of June 2021</w:t>
      </w:r>
      <w:r w:rsidR="58412B70" w:rsidRPr="78C3123E">
        <w:rPr>
          <w:rFonts w:eastAsia="Arial" w:cs="Arial"/>
          <w:color w:val="000000" w:themeColor="text1"/>
          <w:sz w:val="22"/>
          <w:szCs w:val="22"/>
        </w:rPr>
        <w:t xml:space="preserve"> the </w:t>
      </w:r>
      <w:r w:rsidR="58A44747" w:rsidRPr="78C3123E">
        <w:rPr>
          <w:rFonts w:eastAsia="Arial" w:cs="Arial"/>
          <w:color w:val="000000" w:themeColor="text1"/>
          <w:sz w:val="22"/>
          <w:szCs w:val="22"/>
        </w:rPr>
        <w:t xml:space="preserve">service </w:t>
      </w:r>
      <w:r w:rsidR="2B7D607E" w:rsidRPr="78C3123E">
        <w:rPr>
          <w:rFonts w:eastAsia="Arial" w:cs="Arial"/>
          <w:color w:val="000000" w:themeColor="text1"/>
          <w:sz w:val="22"/>
          <w:szCs w:val="22"/>
        </w:rPr>
        <w:t>has</w:t>
      </w:r>
      <w:r w:rsidR="25B9C390" w:rsidRPr="78C3123E">
        <w:rPr>
          <w:rFonts w:eastAsia="Arial" w:cs="Arial"/>
          <w:color w:val="000000" w:themeColor="text1"/>
          <w:sz w:val="22"/>
          <w:szCs w:val="22"/>
        </w:rPr>
        <w:t xml:space="preserve"> defrayed £ £1,108,645.80 to 347 business</w:t>
      </w:r>
      <w:r w:rsidR="4627CB08" w:rsidRPr="78C3123E">
        <w:rPr>
          <w:rFonts w:eastAsia="Arial" w:cs="Arial"/>
          <w:color w:val="000000" w:themeColor="text1"/>
          <w:sz w:val="22"/>
          <w:szCs w:val="22"/>
        </w:rPr>
        <w:t>.</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470"/>
        <w:gridCol w:w="3819"/>
        <w:gridCol w:w="6237"/>
      </w:tblGrid>
      <w:tr w:rsidR="00BB349C" w14:paraId="3367915B" w14:textId="77777777" w:rsidTr="62385CB5">
        <w:trPr>
          <w:trHeight w:val="623"/>
        </w:trPr>
        <w:tc>
          <w:tcPr>
            <w:tcW w:w="2508" w:type="dxa"/>
            <w:tcBorders>
              <w:top w:val="single" w:sz="4" w:space="0" w:color="auto"/>
              <w:left w:val="single" w:sz="4" w:space="0" w:color="auto"/>
              <w:bottom w:val="single" w:sz="4" w:space="0" w:color="auto"/>
              <w:right w:val="single" w:sz="4" w:space="0" w:color="auto"/>
            </w:tcBorders>
          </w:tcPr>
          <w:p w14:paraId="7B35587A" w14:textId="77777777" w:rsidR="001C6468" w:rsidRPr="00A13FE9" w:rsidRDefault="00AF55DE" w:rsidP="001C6468">
            <w:pPr>
              <w:pStyle w:val="NoSpacing"/>
              <w:rPr>
                <w:rFonts w:ascii="Arial" w:hAnsi="Arial" w:cs="Arial"/>
                <w:b/>
              </w:rPr>
            </w:pPr>
            <w:r w:rsidRPr="00A13FE9">
              <w:rPr>
                <w:rFonts w:ascii="Arial" w:hAnsi="Arial" w:cs="Arial"/>
                <w:b/>
              </w:rPr>
              <w:t xml:space="preserve">Performance </w:t>
            </w:r>
            <w:r w:rsidRPr="00A13FE9">
              <w:rPr>
                <w:rFonts w:ascii="Arial" w:hAnsi="Arial" w:cs="Arial"/>
                <w:b/>
              </w:rPr>
              <w:t>Indicator</w:t>
            </w:r>
          </w:p>
        </w:tc>
        <w:tc>
          <w:tcPr>
            <w:tcW w:w="1470" w:type="dxa"/>
            <w:tcBorders>
              <w:top w:val="single" w:sz="4" w:space="0" w:color="auto"/>
              <w:left w:val="single" w:sz="4" w:space="0" w:color="auto"/>
              <w:bottom w:val="single" w:sz="4" w:space="0" w:color="auto"/>
              <w:right w:val="single" w:sz="4" w:space="0" w:color="auto"/>
            </w:tcBorders>
          </w:tcPr>
          <w:p w14:paraId="48903475" w14:textId="77777777" w:rsidR="001C6468" w:rsidRPr="00A13FE9" w:rsidRDefault="00AF55DE" w:rsidP="001C6468">
            <w:pPr>
              <w:pStyle w:val="NoSpacing"/>
              <w:rPr>
                <w:rFonts w:ascii="Arial" w:hAnsi="Arial" w:cs="Arial"/>
                <w:b/>
              </w:rPr>
            </w:pPr>
            <w:r w:rsidRPr="00A13FE9">
              <w:rPr>
                <w:rFonts w:ascii="Arial" w:hAnsi="Arial" w:cs="Arial"/>
                <w:b/>
              </w:rPr>
              <w:t>Frequency</w:t>
            </w:r>
          </w:p>
        </w:tc>
        <w:tc>
          <w:tcPr>
            <w:tcW w:w="3819" w:type="dxa"/>
            <w:tcBorders>
              <w:top w:val="single" w:sz="4" w:space="0" w:color="auto"/>
              <w:left w:val="single" w:sz="4" w:space="0" w:color="auto"/>
              <w:bottom w:val="single" w:sz="4" w:space="0" w:color="auto"/>
              <w:right w:val="single" w:sz="4" w:space="0" w:color="auto"/>
            </w:tcBorders>
          </w:tcPr>
          <w:p w14:paraId="5F395B52" w14:textId="77777777" w:rsidR="001C6468" w:rsidRPr="00A13FE9" w:rsidRDefault="00AF55DE" w:rsidP="001C6468">
            <w:pPr>
              <w:pStyle w:val="NoSpacing"/>
              <w:rPr>
                <w:rFonts w:ascii="Arial" w:hAnsi="Arial" w:cs="Arial"/>
                <w:b/>
              </w:rPr>
            </w:pPr>
            <w:r w:rsidRPr="00A13FE9">
              <w:rPr>
                <w:rFonts w:ascii="Arial" w:hAnsi="Arial" w:cs="Arial"/>
                <w:b/>
              </w:rPr>
              <w:t xml:space="preserve">Directorate </w:t>
            </w:r>
          </w:p>
        </w:tc>
        <w:tc>
          <w:tcPr>
            <w:tcW w:w="6237" w:type="dxa"/>
            <w:tcBorders>
              <w:top w:val="single" w:sz="4" w:space="0" w:color="auto"/>
              <w:left w:val="single" w:sz="4" w:space="0" w:color="auto"/>
              <w:bottom w:val="single" w:sz="4" w:space="0" w:color="auto"/>
              <w:right w:val="single" w:sz="4" w:space="0" w:color="auto"/>
            </w:tcBorders>
          </w:tcPr>
          <w:p w14:paraId="36714B6E" w14:textId="77777777" w:rsidR="001C6468" w:rsidRPr="00A13FE9" w:rsidRDefault="00AF55DE" w:rsidP="001C6468">
            <w:pPr>
              <w:pStyle w:val="NoSpacing"/>
              <w:spacing w:line="252" w:lineRule="auto"/>
              <w:rPr>
                <w:rFonts w:ascii="Arial" w:eastAsiaTheme="minorHAnsi" w:hAnsi="Arial" w:cs="Arial"/>
                <w:b/>
                <w:bCs/>
              </w:rPr>
            </w:pPr>
            <w:r w:rsidRPr="00A13FE9">
              <w:rPr>
                <w:rFonts w:ascii="Arial" w:hAnsi="Arial" w:cs="Arial"/>
                <w:b/>
                <w:bCs/>
              </w:rPr>
              <w:t>Current Performance</w:t>
            </w:r>
          </w:p>
        </w:tc>
      </w:tr>
      <w:tr w:rsidR="00BB349C" w14:paraId="337D3D2B" w14:textId="77777777" w:rsidTr="62385CB5">
        <w:trPr>
          <w:trHeight w:val="684"/>
        </w:trPr>
        <w:tc>
          <w:tcPr>
            <w:tcW w:w="2508" w:type="dxa"/>
            <w:tcBorders>
              <w:top w:val="single" w:sz="4" w:space="0" w:color="auto"/>
              <w:left w:val="single" w:sz="4" w:space="0" w:color="auto"/>
              <w:bottom w:val="single" w:sz="4" w:space="0" w:color="auto"/>
              <w:right w:val="single" w:sz="4" w:space="0" w:color="auto"/>
            </w:tcBorders>
            <w:hideMark/>
          </w:tcPr>
          <w:p w14:paraId="27401418" w14:textId="77777777" w:rsidR="00AB7002" w:rsidRPr="00A13FE9" w:rsidRDefault="00AF55DE" w:rsidP="00AB7002">
            <w:pPr>
              <w:pStyle w:val="NoSpacing"/>
              <w:rPr>
                <w:rFonts w:ascii="Arial" w:hAnsi="Arial" w:cs="Arial"/>
              </w:rPr>
            </w:pPr>
            <w:r w:rsidRPr="00A13FE9">
              <w:rPr>
                <w:rFonts w:ascii="Arial" w:hAnsi="Arial" w:cs="Arial"/>
              </w:rPr>
              <w:t xml:space="preserve">Sustainable transport and travel </w:t>
            </w:r>
          </w:p>
        </w:tc>
        <w:tc>
          <w:tcPr>
            <w:tcW w:w="1470" w:type="dxa"/>
            <w:tcBorders>
              <w:top w:val="single" w:sz="4" w:space="0" w:color="auto"/>
              <w:left w:val="single" w:sz="4" w:space="0" w:color="auto"/>
              <w:bottom w:val="single" w:sz="4" w:space="0" w:color="auto"/>
              <w:right w:val="single" w:sz="4" w:space="0" w:color="auto"/>
            </w:tcBorders>
            <w:hideMark/>
          </w:tcPr>
          <w:p w14:paraId="604FB3DC" w14:textId="77777777" w:rsidR="00AB7002" w:rsidRPr="00A13FE9" w:rsidRDefault="00AF55DE" w:rsidP="00AB7002">
            <w:pPr>
              <w:pStyle w:val="NoSpacing"/>
              <w:rPr>
                <w:rFonts w:ascii="Arial" w:hAnsi="Arial" w:cs="Arial"/>
              </w:rPr>
            </w:pPr>
            <w:r w:rsidRPr="00A13FE9">
              <w:rPr>
                <w:rFonts w:ascii="Arial" w:hAnsi="Arial" w:cs="Arial"/>
              </w:rPr>
              <w:t>Annual</w:t>
            </w:r>
          </w:p>
        </w:tc>
        <w:tc>
          <w:tcPr>
            <w:tcW w:w="3819" w:type="dxa"/>
            <w:tcBorders>
              <w:top w:val="single" w:sz="4" w:space="0" w:color="auto"/>
              <w:left w:val="single" w:sz="4" w:space="0" w:color="auto"/>
              <w:bottom w:val="single" w:sz="4" w:space="0" w:color="auto"/>
              <w:right w:val="single" w:sz="4" w:space="0" w:color="auto"/>
            </w:tcBorders>
          </w:tcPr>
          <w:p w14:paraId="6CB3E246" w14:textId="77777777" w:rsidR="00AB7002" w:rsidRPr="00A13FE9" w:rsidRDefault="00AF55DE" w:rsidP="00AB7002">
            <w:pPr>
              <w:pStyle w:val="NoSpacing"/>
              <w:rPr>
                <w:rFonts w:ascii="Arial" w:hAnsi="Arial" w:cs="Arial"/>
              </w:rPr>
            </w:pPr>
            <w:r w:rsidRPr="00A13FE9">
              <w:rPr>
                <w:rFonts w:ascii="Arial" w:hAnsi="Arial" w:cs="Arial"/>
              </w:rPr>
              <w:t>Growth, Environment &amp; Transport</w:t>
            </w:r>
          </w:p>
        </w:tc>
        <w:tc>
          <w:tcPr>
            <w:tcW w:w="6237" w:type="dxa"/>
            <w:tcBorders>
              <w:top w:val="single" w:sz="4" w:space="0" w:color="auto"/>
              <w:left w:val="single" w:sz="4" w:space="0" w:color="auto"/>
              <w:bottom w:val="single" w:sz="4" w:space="0" w:color="auto"/>
              <w:right w:val="single" w:sz="4" w:space="0" w:color="auto"/>
            </w:tcBorders>
          </w:tcPr>
          <w:p w14:paraId="4BFC9216" w14:textId="77777777" w:rsidR="00AB7002" w:rsidRPr="00A13FE9" w:rsidRDefault="00AF55DE" w:rsidP="00AB7002">
            <w:pPr>
              <w:pStyle w:val="NoSpacing"/>
              <w:rPr>
                <w:rFonts w:ascii="Arial" w:hAnsi="Arial" w:cs="Arial"/>
              </w:rPr>
            </w:pPr>
            <w:r w:rsidRPr="00A13FE9">
              <w:rPr>
                <w:rFonts w:ascii="Arial" w:hAnsi="Arial" w:cs="Arial"/>
              </w:rPr>
              <w:t>Annual Report – schedule to be confirmed</w:t>
            </w:r>
          </w:p>
        </w:tc>
      </w:tr>
    </w:tbl>
    <w:p w14:paraId="0FA74632" w14:textId="77777777" w:rsidR="00253EAF" w:rsidRDefault="00253EAF" w:rsidP="009E3657">
      <w:pPr>
        <w:rPr>
          <w:szCs w:val="32"/>
        </w:rPr>
      </w:pPr>
    </w:p>
    <w:p w14:paraId="589C56DA" w14:textId="209CEA26" w:rsidR="00943BB6" w:rsidRPr="001E31D4" w:rsidRDefault="00AF55DE" w:rsidP="00943BB6">
      <w:pPr>
        <w:rPr>
          <w:b/>
          <w:bCs/>
          <w:sz w:val="32"/>
          <w:szCs w:val="32"/>
        </w:rPr>
      </w:pPr>
      <w:r w:rsidRPr="0071127A">
        <w:rPr>
          <w:b/>
          <w:bCs/>
          <w:sz w:val="32"/>
          <w:szCs w:val="32"/>
        </w:rPr>
        <w:t>Lancashire will be the place to visit</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418"/>
        <w:gridCol w:w="1843"/>
        <w:gridCol w:w="6237"/>
      </w:tblGrid>
      <w:tr w:rsidR="00BB349C" w14:paraId="58759DB9" w14:textId="77777777" w:rsidTr="007F71AA">
        <w:tc>
          <w:tcPr>
            <w:tcW w:w="4536" w:type="dxa"/>
            <w:tcBorders>
              <w:top w:val="single" w:sz="4" w:space="0" w:color="auto"/>
              <w:left w:val="single" w:sz="4" w:space="0" w:color="auto"/>
              <w:bottom w:val="single" w:sz="4" w:space="0" w:color="auto"/>
              <w:right w:val="single" w:sz="4" w:space="0" w:color="auto"/>
            </w:tcBorders>
            <w:hideMark/>
          </w:tcPr>
          <w:p w14:paraId="00BCCE47" w14:textId="77777777" w:rsidR="001C6468" w:rsidRPr="00A13FE9" w:rsidRDefault="00AF55DE" w:rsidP="00AB7002">
            <w:pPr>
              <w:pStyle w:val="NoSpacing"/>
              <w:rPr>
                <w:rFonts w:ascii="Arial" w:hAnsi="Arial" w:cs="Arial"/>
                <w:b/>
              </w:rPr>
            </w:pPr>
            <w:r w:rsidRPr="00A13FE9">
              <w:rPr>
                <w:rFonts w:ascii="Arial" w:hAnsi="Arial" w:cs="Arial"/>
                <w:b/>
              </w:rPr>
              <w:t>Performance Indicator</w:t>
            </w:r>
          </w:p>
        </w:tc>
        <w:tc>
          <w:tcPr>
            <w:tcW w:w="1418" w:type="dxa"/>
            <w:tcBorders>
              <w:top w:val="single" w:sz="4" w:space="0" w:color="auto"/>
              <w:left w:val="single" w:sz="4" w:space="0" w:color="auto"/>
              <w:bottom w:val="single" w:sz="4" w:space="0" w:color="auto"/>
              <w:right w:val="single" w:sz="4" w:space="0" w:color="auto"/>
            </w:tcBorders>
            <w:hideMark/>
          </w:tcPr>
          <w:p w14:paraId="66422E8A" w14:textId="77777777" w:rsidR="001C6468" w:rsidRPr="00A13FE9" w:rsidRDefault="00AF55DE" w:rsidP="00AB7002">
            <w:pPr>
              <w:pStyle w:val="NoSpacing"/>
              <w:rPr>
                <w:rFonts w:ascii="Arial" w:hAnsi="Arial" w:cs="Arial"/>
                <w:b/>
              </w:rPr>
            </w:pPr>
            <w:r w:rsidRPr="00A13FE9">
              <w:rPr>
                <w:rFonts w:ascii="Arial" w:hAnsi="Arial" w:cs="Arial"/>
                <w:b/>
              </w:rPr>
              <w:t>Frequency</w:t>
            </w:r>
          </w:p>
        </w:tc>
        <w:tc>
          <w:tcPr>
            <w:tcW w:w="1843" w:type="dxa"/>
            <w:tcBorders>
              <w:top w:val="single" w:sz="4" w:space="0" w:color="auto"/>
              <w:left w:val="single" w:sz="4" w:space="0" w:color="auto"/>
              <w:bottom w:val="single" w:sz="4" w:space="0" w:color="auto"/>
              <w:right w:val="single" w:sz="4" w:space="0" w:color="auto"/>
            </w:tcBorders>
          </w:tcPr>
          <w:p w14:paraId="14005F8B" w14:textId="77777777" w:rsidR="001C6468" w:rsidRPr="00A13FE9" w:rsidRDefault="00AF55DE" w:rsidP="00AB7002">
            <w:pPr>
              <w:pStyle w:val="NoSpacing"/>
              <w:rPr>
                <w:rFonts w:ascii="Arial" w:hAnsi="Arial" w:cs="Arial"/>
                <w:b/>
              </w:rPr>
            </w:pPr>
            <w:r w:rsidRPr="00A13FE9">
              <w:rPr>
                <w:rFonts w:ascii="Arial" w:hAnsi="Arial" w:cs="Arial"/>
                <w:b/>
              </w:rPr>
              <w:t xml:space="preserve">Directorate </w:t>
            </w:r>
          </w:p>
        </w:tc>
        <w:tc>
          <w:tcPr>
            <w:tcW w:w="6237" w:type="dxa"/>
            <w:tcBorders>
              <w:top w:val="single" w:sz="8" w:space="0" w:color="auto"/>
              <w:left w:val="nil"/>
              <w:bottom w:val="single" w:sz="8" w:space="0" w:color="auto"/>
              <w:right w:val="single" w:sz="4" w:space="0" w:color="auto"/>
            </w:tcBorders>
          </w:tcPr>
          <w:p w14:paraId="6D5E1CA7" w14:textId="77777777" w:rsidR="001C6468" w:rsidRPr="00A13FE9" w:rsidRDefault="00AF55DE" w:rsidP="001C6468">
            <w:pPr>
              <w:pStyle w:val="NoSpacing"/>
              <w:spacing w:line="252" w:lineRule="auto"/>
              <w:rPr>
                <w:rFonts w:ascii="Arial" w:eastAsiaTheme="minorHAnsi" w:hAnsi="Arial" w:cs="Arial"/>
                <w:b/>
                <w:bCs/>
              </w:rPr>
            </w:pPr>
            <w:r w:rsidRPr="00A13FE9">
              <w:rPr>
                <w:rFonts w:ascii="Arial" w:hAnsi="Arial" w:cs="Arial"/>
                <w:b/>
                <w:bCs/>
              </w:rPr>
              <w:t>Current Performance</w:t>
            </w:r>
          </w:p>
          <w:p w14:paraId="4E7E259C" w14:textId="77777777" w:rsidR="001C6468" w:rsidRPr="00A13FE9" w:rsidRDefault="001C6468" w:rsidP="001C6468">
            <w:pPr>
              <w:pStyle w:val="NoSpacing"/>
              <w:spacing w:line="252" w:lineRule="auto"/>
              <w:rPr>
                <w:rFonts w:ascii="Arial" w:eastAsiaTheme="minorHAnsi" w:hAnsi="Arial" w:cs="Arial"/>
                <w:b/>
                <w:bCs/>
              </w:rPr>
            </w:pPr>
          </w:p>
        </w:tc>
      </w:tr>
      <w:tr w:rsidR="00BB349C" w14:paraId="78C9DA7E" w14:textId="77777777" w:rsidTr="007F71AA">
        <w:tc>
          <w:tcPr>
            <w:tcW w:w="4536" w:type="dxa"/>
            <w:tcBorders>
              <w:top w:val="single" w:sz="4" w:space="0" w:color="auto"/>
              <w:left w:val="single" w:sz="4" w:space="0" w:color="auto"/>
              <w:bottom w:val="single" w:sz="4" w:space="0" w:color="auto"/>
              <w:right w:val="single" w:sz="4" w:space="0" w:color="auto"/>
            </w:tcBorders>
            <w:hideMark/>
          </w:tcPr>
          <w:p w14:paraId="3330AA0F" w14:textId="77777777" w:rsidR="005B4AFF" w:rsidRPr="00A13FE9" w:rsidRDefault="00AF55DE" w:rsidP="00AB7002">
            <w:pPr>
              <w:pStyle w:val="NoSpacing"/>
              <w:rPr>
                <w:rFonts w:ascii="Arial" w:hAnsi="Arial" w:cs="Arial"/>
              </w:rPr>
            </w:pPr>
            <w:r w:rsidRPr="00A13FE9">
              <w:rPr>
                <w:rFonts w:ascii="Arial" w:hAnsi="Arial" w:cs="Arial"/>
              </w:rPr>
              <w:t>Number of visitors to Lancashire</w:t>
            </w:r>
          </w:p>
        </w:tc>
        <w:tc>
          <w:tcPr>
            <w:tcW w:w="1418" w:type="dxa"/>
            <w:tcBorders>
              <w:top w:val="single" w:sz="4" w:space="0" w:color="auto"/>
              <w:left w:val="single" w:sz="4" w:space="0" w:color="auto"/>
              <w:bottom w:val="single" w:sz="4" w:space="0" w:color="auto"/>
              <w:right w:val="single" w:sz="4" w:space="0" w:color="auto"/>
            </w:tcBorders>
            <w:hideMark/>
          </w:tcPr>
          <w:p w14:paraId="6CF8D1D8" w14:textId="77777777" w:rsidR="005B4AFF" w:rsidRPr="00A13FE9" w:rsidRDefault="00AF55DE" w:rsidP="00AB7002">
            <w:pPr>
              <w:pStyle w:val="NoSpacing"/>
              <w:rPr>
                <w:rFonts w:ascii="Arial" w:hAnsi="Arial" w:cs="Arial"/>
              </w:rPr>
            </w:pPr>
            <w:r w:rsidRPr="00A13FE9">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14:paraId="209747DA" w14:textId="77777777" w:rsidR="005B4AFF" w:rsidRPr="00A13FE9" w:rsidRDefault="00AF55DE" w:rsidP="00AB7002">
            <w:pPr>
              <w:pStyle w:val="NoSpacing"/>
              <w:rPr>
                <w:rFonts w:ascii="Arial" w:hAnsi="Arial" w:cs="Arial"/>
                <w:color w:val="FF0000"/>
              </w:rPr>
            </w:pPr>
            <w:r w:rsidRPr="00A13FE9">
              <w:rPr>
                <w:rFonts w:ascii="Arial" w:hAnsi="Arial" w:cs="Arial"/>
              </w:rPr>
              <w:t>Growth, Environment and Transport</w:t>
            </w:r>
          </w:p>
        </w:tc>
        <w:tc>
          <w:tcPr>
            <w:tcW w:w="6237" w:type="dxa"/>
            <w:vMerge w:val="restart"/>
            <w:tcBorders>
              <w:top w:val="single" w:sz="8" w:space="0" w:color="auto"/>
              <w:left w:val="nil"/>
              <w:right w:val="single" w:sz="4" w:space="0" w:color="auto"/>
            </w:tcBorders>
          </w:tcPr>
          <w:p w14:paraId="66AC3DC0" w14:textId="77777777" w:rsidR="005B4AFF" w:rsidRPr="00A13FE9" w:rsidRDefault="00AF55DE" w:rsidP="00AB7002">
            <w:pPr>
              <w:pStyle w:val="NoSpacing"/>
              <w:rPr>
                <w:rFonts w:ascii="Arial" w:hAnsi="Arial" w:cs="Arial"/>
              </w:rPr>
            </w:pPr>
            <w:r w:rsidRPr="00A13FE9">
              <w:rPr>
                <w:rFonts w:ascii="Arial" w:hAnsi="Arial" w:cs="Arial"/>
              </w:rPr>
              <w:t>Targets being reviewed as part of a new tourism growth strategy. Annual Report – scheduled to be confirmed.</w:t>
            </w:r>
          </w:p>
        </w:tc>
      </w:tr>
      <w:tr w:rsidR="00BB349C" w14:paraId="1626BD89" w14:textId="77777777" w:rsidTr="00EC2CD4">
        <w:tc>
          <w:tcPr>
            <w:tcW w:w="4536" w:type="dxa"/>
            <w:tcBorders>
              <w:top w:val="single" w:sz="4" w:space="0" w:color="auto"/>
              <w:left w:val="single" w:sz="4" w:space="0" w:color="auto"/>
              <w:bottom w:val="single" w:sz="4" w:space="0" w:color="auto"/>
              <w:right w:val="single" w:sz="4" w:space="0" w:color="auto"/>
            </w:tcBorders>
            <w:hideMark/>
          </w:tcPr>
          <w:p w14:paraId="72D01B9E" w14:textId="77777777" w:rsidR="005B4AFF" w:rsidRPr="00A13FE9" w:rsidRDefault="00AF55DE" w:rsidP="00AB7002">
            <w:pPr>
              <w:pStyle w:val="NoSpacing"/>
              <w:rPr>
                <w:rFonts w:ascii="Arial" w:hAnsi="Arial" w:cs="Arial"/>
              </w:rPr>
            </w:pPr>
            <w:r w:rsidRPr="00A13FE9">
              <w:rPr>
                <w:rFonts w:ascii="Arial" w:hAnsi="Arial" w:cs="Arial"/>
              </w:rPr>
              <w:t xml:space="preserve">The economic impact of </w:t>
            </w:r>
            <w:r w:rsidRPr="00A13FE9">
              <w:rPr>
                <w:rFonts w:ascii="Arial" w:hAnsi="Arial" w:cs="Arial"/>
              </w:rPr>
              <w:t>visitors to Lancashire</w:t>
            </w:r>
          </w:p>
        </w:tc>
        <w:tc>
          <w:tcPr>
            <w:tcW w:w="1418" w:type="dxa"/>
            <w:tcBorders>
              <w:top w:val="single" w:sz="4" w:space="0" w:color="auto"/>
              <w:left w:val="single" w:sz="4" w:space="0" w:color="auto"/>
              <w:bottom w:val="single" w:sz="4" w:space="0" w:color="auto"/>
              <w:right w:val="single" w:sz="4" w:space="0" w:color="auto"/>
            </w:tcBorders>
            <w:hideMark/>
          </w:tcPr>
          <w:p w14:paraId="34C06260" w14:textId="77777777" w:rsidR="005B4AFF" w:rsidRPr="00A13FE9" w:rsidRDefault="00AF55DE" w:rsidP="00AB7002">
            <w:pPr>
              <w:pStyle w:val="NoSpacing"/>
              <w:rPr>
                <w:rFonts w:ascii="Arial" w:hAnsi="Arial" w:cs="Arial"/>
              </w:rPr>
            </w:pPr>
            <w:r w:rsidRPr="00A13FE9">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14:paraId="538ADEF5" w14:textId="77777777" w:rsidR="005B4AFF" w:rsidRPr="00A13FE9" w:rsidRDefault="00AF55DE" w:rsidP="00AB7002">
            <w:pPr>
              <w:pStyle w:val="NoSpacing"/>
              <w:rPr>
                <w:rFonts w:ascii="Arial" w:hAnsi="Arial" w:cs="Arial"/>
                <w:color w:val="FF0000"/>
              </w:rPr>
            </w:pPr>
            <w:r w:rsidRPr="00A13FE9">
              <w:rPr>
                <w:rFonts w:ascii="Arial" w:hAnsi="Arial" w:cs="Arial"/>
              </w:rPr>
              <w:t>Growth, Environment and Transport</w:t>
            </w:r>
          </w:p>
        </w:tc>
        <w:tc>
          <w:tcPr>
            <w:tcW w:w="6237" w:type="dxa"/>
            <w:vMerge/>
            <w:tcBorders>
              <w:left w:val="nil"/>
              <w:right w:val="single" w:sz="4" w:space="0" w:color="auto"/>
            </w:tcBorders>
          </w:tcPr>
          <w:p w14:paraId="11982DEE" w14:textId="77777777" w:rsidR="005B4AFF" w:rsidRPr="00A13FE9" w:rsidRDefault="005B4AFF" w:rsidP="00AB7002">
            <w:pPr>
              <w:pStyle w:val="NoSpacing"/>
              <w:rPr>
                <w:rFonts w:ascii="Arial" w:hAnsi="Arial" w:cs="Arial"/>
              </w:rPr>
            </w:pPr>
          </w:p>
        </w:tc>
      </w:tr>
      <w:tr w:rsidR="00BB349C" w14:paraId="77D290F5" w14:textId="77777777" w:rsidTr="007F71AA">
        <w:tc>
          <w:tcPr>
            <w:tcW w:w="4536" w:type="dxa"/>
            <w:tcBorders>
              <w:top w:val="single" w:sz="4" w:space="0" w:color="auto"/>
              <w:left w:val="single" w:sz="4" w:space="0" w:color="auto"/>
              <w:bottom w:val="single" w:sz="4" w:space="0" w:color="auto"/>
              <w:right w:val="single" w:sz="4" w:space="0" w:color="auto"/>
            </w:tcBorders>
            <w:hideMark/>
          </w:tcPr>
          <w:p w14:paraId="6741DB7A" w14:textId="77777777" w:rsidR="005B4AFF" w:rsidRPr="00A13FE9" w:rsidRDefault="00AF55DE" w:rsidP="00AB7002">
            <w:pPr>
              <w:pStyle w:val="NoSpacing"/>
              <w:rPr>
                <w:rFonts w:ascii="Arial" w:hAnsi="Arial" w:cs="Arial"/>
              </w:rPr>
            </w:pPr>
            <w:r w:rsidRPr="00A13FE9">
              <w:rPr>
                <w:rFonts w:ascii="Arial" w:hAnsi="Arial" w:cs="Arial"/>
              </w:rPr>
              <w:t>Full Time Equivalent jobs supported by the visitor economy</w:t>
            </w:r>
          </w:p>
        </w:tc>
        <w:tc>
          <w:tcPr>
            <w:tcW w:w="1418" w:type="dxa"/>
            <w:tcBorders>
              <w:top w:val="single" w:sz="4" w:space="0" w:color="auto"/>
              <w:left w:val="single" w:sz="4" w:space="0" w:color="auto"/>
              <w:bottom w:val="single" w:sz="4" w:space="0" w:color="auto"/>
              <w:right w:val="single" w:sz="4" w:space="0" w:color="auto"/>
            </w:tcBorders>
            <w:hideMark/>
          </w:tcPr>
          <w:p w14:paraId="648DC5B0" w14:textId="77777777" w:rsidR="005B4AFF" w:rsidRPr="00A13FE9" w:rsidRDefault="00AF55DE" w:rsidP="00AB7002">
            <w:pPr>
              <w:pStyle w:val="NoSpacing"/>
              <w:rPr>
                <w:rFonts w:ascii="Arial" w:hAnsi="Arial" w:cs="Arial"/>
              </w:rPr>
            </w:pPr>
            <w:r w:rsidRPr="00A13FE9">
              <w:rPr>
                <w:rFonts w:ascii="Arial" w:hAnsi="Arial" w:cs="Arial"/>
              </w:rPr>
              <w:t>Annual</w:t>
            </w:r>
          </w:p>
        </w:tc>
        <w:tc>
          <w:tcPr>
            <w:tcW w:w="1843" w:type="dxa"/>
            <w:tcBorders>
              <w:top w:val="single" w:sz="4" w:space="0" w:color="auto"/>
              <w:left w:val="single" w:sz="4" w:space="0" w:color="auto"/>
              <w:bottom w:val="single" w:sz="4" w:space="0" w:color="auto"/>
              <w:right w:val="single" w:sz="4" w:space="0" w:color="auto"/>
            </w:tcBorders>
          </w:tcPr>
          <w:p w14:paraId="2DE5E022" w14:textId="77777777" w:rsidR="005B4AFF" w:rsidRPr="002B3909" w:rsidRDefault="00AF55DE" w:rsidP="00AB7002">
            <w:pPr>
              <w:pStyle w:val="NoSpacing"/>
              <w:rPr>
                <w:rFonts w:ascii="Arial" w:hAnsi="Arial" w:cs="Arial"/>
                <w:color w:val="FF0000"/>
              </w:rPr>
            </w:pPr>
            <w:r w:rsidRPr="00A13FE9">
              <w:rPr>
                <w:rFonts w:ascii="Arial" w:hAnsi="Arial" w:cs="Arial"/>
              </w:rPr>
              <w:t>Growth, Environment and Transport</w:t>
            </w:r>
          </w:p>
        </w:tc>
        <w:tc>
          <w:tcPr>
            <w:tcW w:w="6237" w:type="dxa"/>
            <w:vMerge/>
            <w:tcBorders>
              <w:left w:val="nil"/>
              <w:bottom w:val="single" w:sz="4" w:space="0" w:color="auto"/>
              <w:right w:val="single" w:sz="4" w:space="0" w:color="auto"/>
            </w:tcBorders>
          </w:tcPr>
          <w:p w14:paraId="66D4411B" w14:textId="77777777" w:rsidR="005B4AFF" w:rsidRPr="00FA30B2" w:rsidRDefault="005B4AFF" w:rsidP="00AB7002">
            <w:pPr>
              <w:pStyle w:val="NoSpacing"/>
              <w:rPr>
                <w:rFonts w:ascii="Arial" w:hAnsi="Arial" w:cs="Arial"/>
              </w:rPr>
            </w:pPr>
          </w:p>
        </w:tc>
      </w:tr>
    </w:tbl>
    <w:p w14:paraId="2006AAC3" w14:textId="5A0BFCB5" w:rsidR="00F044C2" w:rsidRPr="001F162D" w:rsidRDefault="00AF55DE" w:rsidP="001F162D">
      <w:pPr>
        <w:pStyle w:val="Heading2"/>
        <w:rPr>
          <w:szCs w:val="32"/>
        </w:rPr>
      </w:pPr>
      <w:r w:rsidRPr="0085231B">
        <w:rPr>
          <w:szCs w:val="32"/>
        </w:rPr>
        <w:lastRenderedPageBreak/>
        <w:t>Lancashire will be the place where everyone acts responsibly</w:t>
      </w:r>
    </w:p>
    <w:tbl>
      <w:tblPr>
        <w:tblW w:w="140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0"/>
        <w:gridCol w:w="1560"/>
        <w:gridCol w:w="1590"/>
        <w:gridCol w:w="1035"/>
        <w:gridCol w:w="1232"/>
        <w:gridCol w:w="1291"/>
        <w:gridCol w:w="1623"/>
        <w:gridCol w:w="1569"/>
        <w:gridCol w:w="1183"/>
      </w:tblGrid>
      <w:tr w:rsidR="00BB349C" w14:paraId="6F9A733E" w14:textId="77777777" w:rsidTr="78C3123E">
        <w:trPr>
          <w:trHeight w:val="439"/>
        </w:trPr>
        <w:tc>
          <w:tcPr>
            <w:tcW w:w="2940" w:type="dxa"/>
            <w:tcBorders>
              <w:top w:val="single" w:sz="4" w:space="0" w:color="auto"/>
              <w:left w:val="single" w:sz="4" w:space="0" w:color="auto"/>
              <w:bottom w:val="single" w:sz="4" w:space="0" w:color="auto"/>
              <w:right w:val="single" w:sz="4" w:space="0" w:color="auto"/>
            </w:tcBorders>
            <w:hideMark/>
          </w:tcPr>
          <w:p w14:paraId="7FF0F766" w14:textId="5ACC34A6" w:rsidR="0058291F" w:rsidRPr="006C07CE" w:rsidRDefault="00AF55DE" w:rsidP="62385CB5">
            <w:pPr>
              <w:pStyle w:val="NoSpacing"/>
              <w:rPr>
                <w:rFonts w:ascii="Arial" w:hAnsi="Arial" w:cs="Arial"/>
                <w:b/>
                <w:bCs/>
              </w:rPr>
            </w:pPr>
            <w:r w:rsidRPr="62385CB5">
              <w:rPr>
                <w:rFonts w:ascii="Arial" w:hAnsi="Arial" w:cs="Arial"/>
                <w:b/>
                <w:bCs/>
                <w:sz w:val="20"/>
                <w:szCs w:val="20"/>
              </w:rPr>
              <w:t xml:space="preserve">Performance </w:t>
            </w:r>
            <w:r w:rsidRPr="62385CB5">
              <w:rPr>
                <w:rFonts w:ascii="Arial" w:hAnsi="Arial" w:cs="Arial"/>
                <w:b/>
                <w:bCs/>
                <w:sz w:val="20"/>
                <w:szCs w:val="20"/>
              </w:rPr>
              <w:t>Indicator</w:t>
            </w:r>
          </w:p>
          <w:p w14:paraId="3AD1C8FE" w14:textId="2A943712" w:rsidR="0058291F" w:rsidRPr="006C07CE" w:rsidRDefault="0058291F" w:rsidP="0CF1EE9E">
            <w:pPr>
              <w:pStyle w:val="NoSpacing"/>
              <w:rPr>
                <w:b/>
                <w:bCs/>
              </w:rPr>
            </w:pPr>
          </w:p>
        </w:tc>
        <w:tc>
          <w:tcPr>
            <w:tcW w:w="1560" w:type="dxa"/>
            <w:tcBorders>
              <w:top w:val="single" w:sz="4" w:space="0" w:color="auto"/>
              <w:left w:val="single" w:sz="4" w:space="0" w:color="auto"/>
              <w:bottom w:val="single" w:sz="4" w:space="0" w:color="auto"/>
              <w:right w:val="single" w:sz="4" w:space="0" w:color="auto"/>
            </w:tcBorders>
            <w:hideMark/>
          </w:tcPr>
          <w:p w14:paraId="5948F757" w14:textId="6EDA3C6F" w:rsidR="0058291F" w:rsidRPr="006C07CE" w:rsidRDefault="00AF55DE" w:rsidP="62385CB5">
            <w:pPr>
              <w:pStyle w:val="NoSpacing"/>
              <w:rPr>
                <w:rFonts w:ascii="Arial" w:hAnsi="Arial" w:cs="Arial"/>
                <w:b/>
                <w:bCs/>
              </w:rPr>
            </w:pPr>
            <w:r w:rsidRPr="62385CB5">
              <w:rPr>
                <w:rFonts w:ascii="Arial" w:hAnsi="Arial" w:cs="Arial"/>
                <w:b/>
                <w:bCs/>
                <w:sz w:val="20"/>
                <w:szCs w:val="20"/>
              </w:rPr>
              <w:t>Frequency</w:t>
            </w:r>
          </w:p>
          <w:p w14:paraId="1D187D0F" w14:textId="4650ED20" w:rsidR="0058291F" w:rsidRPr="006C07CE" w:rsidRDefault="0058291F" w:rsidP="62385CB5">
            <w:pPr>
              <w:pStyle w:val="NoSpacing"/>
              <w:rPr>
                <w:b/>
                <w:bCs/>
              </w:rPr>
            </w:pPr>
          </w:p>
        </w:tc>
        <w:tc>
          <w:tcPr>
            <w:tcW w:w="1590" w:type="dxa"/>
            <w:tcBorders>
              <w:top w:val="single" w:sz="4" w:space="0" w:color="auto"/>
              <w:left w:val="single" w:sz="4" w:space="0" w:color="auto"/>
              <w:bottom w:val="single" w:sz="4" w:space="0" w:color="auto"/>
              <w:right w:val="single" w:sz="4" w:space="0" w:color="auto"/>
            </w:tcBorders>
          </w:tcPr>
          <w:p w14:paraId="0ACBD88A" w14:textId="1200B946" w:rsidR="0058291F" w:rsidRPr="006C07CE" w:rsidRDefault="00AF55DE" w:rsidP="62385CB5">
            <w:pPr>
              <w:pStyle w:val="NoSpacing"/>
              <w:rPr>
                <w:rFonts w:ascii="Arial" w:hAnsi="Arial" w:cs="Arial"/>
                <w:b/>
                <w:bCs/>
              </w:rPr>
            </w:pPr>
            <w:r w:rsidRPr="62385CB5">
              <w:rPr>
                <w:rFonts w:ascii="Arial" w:hAnsi="Arial" w:cs="Arial"/>
                <w:b/>
                <w:bCs/>
                <w:sz w:val="20"/>
                <w:szCs w:val="20"/>
              </w:rPr>
              <w:t>Directorate</w:t>
            </w:r>
          </w:p>
          <w:p w14:paraId="4F82788C" w14:textId="48B3B6D0" w:rsidR="0058291F" w:rsidRPr="006C07CE" w:rsidRDefault="0058291F" w:rsidP="62385CB5">
            <w:pPr>
              <w:pStyle w:val="NoSpacing"/>
              <w:rPr>
                <w:b/>
                <w:bCs/>
              </w:rPr>
            </w:pPr>
          </w:p>
        </w:tc>
        <w:tc>
          <w:tcPr>
            <w:tcW w:w="1035" w:type="dxa"/>
            <w:tcBorders>
              <w:top w:val="single" w:sz="4" w:space="0" w:color="auto"/>
              <w:left w:val="single" w:sz="4" w:space="0" w:color="auto"/>
              <w:bottom w:val="single" w:sz="4" w:space="0" w:color="auto"/>
              <w:right w:val="single" w:sz="4" w:space="0" w:color="auto"/>
            </w:tcBorders>
          </w:tcPr>
          <w:p w14:paraId="334D45A0" w14:textId="520EF36F" w:rsidR="0058291F" w:rsidRPr="006C07CE" w:rsidRDefault="00AF55DE" w:rsidP="62385CB5">
            <w:pPr>
              <w:pStyle w:val="NoSpacing"/>
              <w:rPr>
                <w:rFonts w:ascii="Arial" w:hAnsi="Arial" w:cs="Arial"/>
                <w:b/>
                <w:bCs/>
              </w:rPr>
            </w:pPr>
            <w:r w:rsidRPr="62385CB5">
              <w:rPr>
                <w:rFonts w:ascii="Arial" w:hAnsi="Arial" w:cs="Arial"/>
                <w:b/>
                <w:bCs/>
                <w:sz w:val="20"/>
                <w:szCs w:val="20"/>
              </w:rPr>
              <w:t>Good is</w:t>
            </w:r>
          </w:p>
          <w:p w14:paraId="5B57735E" w14:textId="623D30A2" w:rsidR="0058291F" w:rsidRPr="006C07CE" w:rsidRDefault="0058291F" w:rsidP="62385CB5">
            <w:pPr>
              <w:pStyle w:val="NoSpacing"/>
              <w:rPr>
                <w:b/>
                <w:bCs/>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1B23429A" w14:textId="1CBBECBF" w:rsidR="0058291F" w:rsidRPr="006C07CE" w:rsidRDefault="00AF55DE" w:rsidP="62385CB5">
            <w:pPr>
              <w:pStyle w:val="NoSpacing"/>
              <w:rPr>
                <w:rFonts w:ascii="Arial" w:hAnsi="Arial" w:cs="Arial"/>
                <w:b/>
                <w:bCs/>
              </w:rPr>
            </w:pPr>
            <w:r w:rsidRPr="78C3123E">
              <w:rPr>
                <w:rFonts w:ascii="Arial" w:hAnsi="Arial" w:cs="Arial"/>
                <w:b/>
                <w:bCs/>
                <w:sz w:val="20"/>
                <w:szCs w:val="20"/>
              </w:rPr>
              <w:t>2019/20 Outturn</w:t>
            </w:r>
          </w:p>
          <w:p w14:paraId="07C0DCB1" w14:textId="67DCA5A1" w:rsidR="0058291F" w:rsidRPr="006C07CE" w:rsidRDefault="0058291F" w:rsidP="62385CB5">
            <w:pPr>
              <w:pStyle w:val="NoSpacing"/>
              <w:rPr>
                <w:b/>
                <w:bCs/>
              </w:rPr>
            </w:pPr>
          </w:p>
        </w:tc>
        <w:tc>
          <w:tcPr>
            <w:tcW w:w="1291" w:type="dxa"/>
            <w:tcBorders>
              <w:top w:val="single" w:sz="4" w:space="0" w:color="auto"/>
              <w:left w:val="single" w:sz="4" w:space="0" w:color="auto"/>
              <w:bottom w:val="single" w:sz="4" w:space="0" w:color="auto"/>
              <w:right w:val="single" w:sz="4" w:space="0" w:color="auto"/>
            </w:tcBorders>
          </w:tcPr>
          <w:p w14:paraId="4E38195B" w14:textId="6A11BA1F" w:rsidR="0058291F" w:rsidRPr="006C07CE" w:rsidRDefault="00AF55DE" w:rsidP="62385CB5">
            <w:pPr>
              <w:pStyle w:val="NoSpacing"/>
              <w:jc w:val="center"/>
              <w:rPr>
                <w:rFonts w:ascii="Arial" w:hAnsi="Arial" w:cs="Arial"/>
                <w:b/>
                <w:bCs/>
                <w:sz w:val="20"/>
                <w:szCs w:val="20"/>
              </w:rPr>
            </w:pPr>
            <w:r w:rsidRPr="62385CB5">
              <w:rPr>
                <w:rFonts w:ascii="Arial" w:hAnsi="Arial" w:cs="Arial"/>
                <w:b/>
                <w:bCs/>
                <w:sz w:val="20"/>
                <w:szCs w:val="20"/>
              </w:rPr>
              <w:t>2020/21 Outturn</w:t>
            </w:r>
          </w:p>
          <w:p w14:paraId="4D106B0B" w14:textId="2840179F" w:rsidR="0058291F" w:rsidRPr="006C07CE" w:rsidRDefault="0058291F" w:rsidP="62385CB5">
            <w:pPr>
              <w:pStyle w:val="NoSpacing"/>
              <w:rPr>
                <w:b/>
                <w:bCs/>
                <w:sz w:val="18"/>
                <w:szCs w:val="18"/>
              </w:rPr>
            </w:pPr>
          </w:p>
          <w:p w14:paraId="0CDF1525" w14:textId="5BA78D8D" w:rsidR="0058291F" w:rsidRPr="006C07CE" w:rsidRDefault="0058291F" w:rsidP="62385CB5">
            <w:pPr>
              <w:pStyle w:val="NoSpacing"/>
              <w:rPr>
                <w:b/>
                <w:bCs/>
              </w:rPr>
            </w:pPr>
          </w:p>
        </w:tc>
        <w:tc>
          <w:tcPr>
            <w:tcW w:w="1623" w:type="dxa"/>
            <w:tcBorders>
              <w:top w:val="single" w:sz="4" w:space="0" w:color="auto"/>
              <w:left w:val="single" w:sz="4" w:space="0" w:color="auto"/>
              <w:bottom w:val="single" w:sz="4" w:space="0" w:color="auto"/>
              <w:right w:val="single" w:sz="4" w:space="0" w:color="auto"/>
            </w:tcBorders>
          </w:tcPr>
          <w:p w14:paraId="2DE9BEB9" w14:textId="6684B6AF" w:rsidR="0058291F" w:rsidRPr="006C07CE" w:rsidRDefault="00AF55DE" w:rsidP="62385CB5">
            <w:pPr>
              <w:pStyle w:val="NoSpacing"/>
              <w:jc w:val="center"/>
              <w:rPr>
                <w:rFonts w:ascii="Arial" w:hAnsi="Arial" w:cs="Arial"/>
                <w:b/>
                <w:bCs/>
              </w:rPr>
            </w:pPr>
            <w:r w:rsidRPr="62385CB5">
              <w:rPr>
                <w:rFonts w:ascii="Arial" w:hAnsi="Arial" w:cs="Arial"/>
                <w:b/>
                <w:bCs/>
                <w:sz w:val="20"/>
                <w:szCs w:val="20"/>
              </w:rPr>
              <w:t xml:space="preserve">2020/21 Quarter 1 </w:t>
            </w:r>
            <w:r w:rsidRPr="62385CB5">
              <w:rPr>
                <w:rFonts w:ascii="Arial" w:hAnsi="Arial" w:cs="Arial"/>
                <w:b/>
                <w:bCs/>
                <w:sz w:val="18"/>
                <w:szCs w:val="18"/>
              </w:rPr>
              <w:t>(April –June)</w:t>
            </w:r>
          </w:p>
          <w:p w14:paraId="653AF1AC" w14:textId="06864999" w:rsidR="0058291F" w:rsidRPr="006C07CE" w:rsidRDefault="0058291F" w:rsidP="62385CB5">
            <w:pPr>
              <w:pStyle w:val="NoSpacing"/>
              <w:rPr>
                <w:b/>
                <w:bCs/>
                <w:sz w:val="18"/>
                <w:szCs w:val="18"/>
              </w:rPr>
            </w:pPr>
          </w:p>
        </w:tc>
        <w:tc>
          <w:tcPr>
            <w:tcW w:w="1569" w:type="dxa"/>
            <w:tcBorders>
              <w:top w:val="single" w:sz="4" w:space="0" w:color="auto"/>
              <w:left w:val="single" w:sz="4" w:space="0" w:color="auto"/>
              <w:bottom w:val="single" w:sz="4" w:space="0" w:color="auto"/>
              <w:right w:val="single" w:sz="4" w:space="0" w:color="auto"/>
            </w:tcBorders>
            <w:shd w:val="clear" w:color="auto" w:fill="auto"/>
          </w:tcPr>
          <w:p w14:paraId="591D8682" w14:textId="612F8291" w:rsidR="0058291F" w:rsidRPr="006C07CE" w:rsidRDefault="00AF55DE" w:rsidP="62385CB5">
            <w:pPr>
              <w:pStyle w:val="NoSpacing"/>
              <w:jc w:val="center"/>
              <w:rPr>
                <w:rFonts w:ascii="Arial" w:hAnsi="Arial" w:cs="Arial"/>
                <w:b/>
                <w:bCs/>
              </w:rPr>
            </w:pPr>
            <w:r w:rsidRPr="62385CB5">
              <w:rPr>
                <w:rFonts w:ascii="Arial" w:hAnsi="Arial" w:cs="Arial"/>
                <w:b/>
                <w:bCs/>
                <w:sz w:val="20"/>
                <w:szCs w:val="20"/>
              </w:rPr>
              <w:t xml:space="preserve">2021/22 Quarter 1 </w:t>
            </w:r>
            <w:r w:rsidRPr="62385CB5">
              <w:rPr>
                <w:rFonts w:ascii="Arial" w:hAnsi="Arial" w:cs="Arial"/>
                <w:b/>
                <w:bCs/>
                <w:sz w:val="18"/>
                <w:szCs w:val="18"/>
              </w:rPr>
              <w:t>(April –June)</w:t>
            </w:r>
          </w:p>
          <w:p w14:paraId="0A7782C5" w14:textId="12E11FEC" w:rsidR="0058291F" w:rsidRPr="006C07CE" w:rsidRDefault="0058291F" w:rsidP="62385CB5">
            <w:pPr>
              <w:pStyle w:val="NoSpacing"/>
              <w:rPr>
                <w:b/>
                <w:bCs/>
                <w:sz w:val="18"/>
                <w:szCs w:val="18"/>
              </w:rPr>
            </w:pPr>
          </w:p>
          <w:p w14:paraId="21564D65" w14:textId="55F59369" w:rsidR="0058291F" w:rsidRPr="006C07CE" w:rsidRDefault="0058291F" w:rsidP="62385CB5">
            <w:pPr>
              <w:pStyle w:val="NoSpacing"/>
              <w:rPr>
                <w:b/>
                <w:bCs/>
              </w:rPr>
            </w:pPr>
          </w:p>
        </w:tc>
        <w:tc>
          <w:tcPr>
            <w:tcW w:w="1183" w:type="dxa"/>
            <w:tcBorders>
              <w:top w:val="single" w:sz="4" w:space="0" w:color="auto"/>
              <w:left w:val="single" w:sz="4" w:space="0" w:color="auto"/>
              <w:bottom w:val="single" w:sz="4" w:space="0" w:color="auto"/>
              <w:right w:val="single" w:sz="4" w:space="0" w:color="auto"/>
            </w:tcBorders>
          </w:tcPr>
          <w:p w14:paraId="2262E298" w14:textId="1F33293A" w:rsidR="0058291F" w:rsidRPr="006C07CE" w:rsidRDefault="00AF55DE" w:rsidP="62385CB5">
            <w:pPr>
              <w:pStyle w:val="NoSpacing"/>
              <w:jc w:val="center"/>
              <w:rPr>
                <w:rFonts w:ascii="Arial" w:hAnsi="Arial" w:cs="Arial"/>
                <w:b/>
                <w:bCs/>
              </w:rPr>
            </w:pPr>
            <w:r w:rsidRPr="62385CB5">
              <w:rPr>
                <w:rFonts w:ascii="Arial" w:hAnsi="Arial" w:cs="Arial"/>
                <w:b/>
                <w:bCs/>
                <w:sz w:val="20"/>
                <w:szCs w:val="20"/>
              </w:rPr>
              <w:t>2021/22 Target</w:t>
            </w:r>
          </w:p>
          <w:p w14:paraId="61F80A73" w14:textId="31A5019F" w:rsidR="0058291F" w:rsidRPr="006C07CE" w:rsidRDefault="0058291F" w:rsidP="62385CB5">
            <w:pPr>
              <w:pStyle w:val="NoSpacing"/>
              <w:rPr>
                <w:b/>
                <w:bCs/>
                <w:sz w:val="18"/>
                <w:szCs w:val="18"/>
              </w:rPr>
            </w:pPr>
          </w:p>
          <w:p w14:paraId="3DFEABCE" w14:textId="4250A688" w:rsidR="0058291F" w:rsidRPr="006C07CE" w:rsidRDefault="0058291F" w:rsidP="62385CB5">
            <w:pPr>
              <w:pStyle w:val="NoSpacing"/>
              <w:rPr>
                <w:b/>
                <w:bCs/>
              </w:rPr>
            </w:pPr>
          </w:p>
        </w:tc>
      </w:tr>
      <w:tr w:rsidR="00BB349C" w14:paraId="20B39D61" w14:textId="52A605A4" w:rsidTr="78C3123E">
        <w:trPr>
          <w:trHeight w:val="680"/>
        </w:trPr>
        <w:tc>
          <w:tcPr>
            <w:tcW w:w="2940" w:type="dxa"/>
            <w:tcBorders>
              <w:top w:val="single" w:sz="4" w:space="0" w:color="auto"/>
              <w:left w:val="single" w:sz="4" w:space="0" w:color="auto"/>
              <w:bottom w:val="single" w:sz="4" w:space="0" w:color="auto"/>
              <w:right w:val="single" w:sz="4" w:space="0" w:color="auto"/>
            </w:tcBorders>
            <w:hideMark/>
          </w:tcPr>
          <w:p w14:paraId="13440D02" w14:textId="7D3A23C0" w:rsidR="00CE0C5D" w:rsidRPr="00FA30B2" w:rsidRDefault="00AF55DE" w:rsidP="62385CB5">
            <w:pPr>
              <w:pStyle w:val="NoSpacing"/>
              <w:rPr>
                <w:rFonts w:ascii="Arial" w:eastAsia="Arial" w:hAnsi="Arial" w:cs="Arial"/>
              </w:rPr>
            </w:pPr>
            <w:r w:rsidRPr="62385CB5">
              <w:rPr>
                <w:rFonts w:ascii="Arial" w:eastAsia="Arial" w:hAnsi="Arial" w:cs="Arial"/>
              </w:rPr>
              <w:t>Public Health Outcomes in Lancashire</w:t>
            </w:r>
          </w:p>
        </w:tc>
        <w:tc>
          <w:tcPr>
            <w:tcW w:w="1560" w:type="dxa"/>
            <w:tcBorders>
              <w:top w:val="single" w:sz="4" w:space="0" w:color="auto"/>
              <w:left w:val="single" w:sz="4" w:space="0" w:color="auto"/>
              <w:bottom w:val="single" w:sz="4" w:space="0" w:color="auto"/>
              <w:right w:val="single" w:sz="4" w:space="0" w:color="auto"/>
            </w:tcBorders>
            <w:hideMark/>
          </w:tcPr>
          <w:p w14:paraId="34B3C664" w14:textId="77777777" w:rsidR="00CE0C5D" w:rsidRPr="00FA30B2" w:rsidRDefault="00AF55DE" w:rsidP="00A13FE9">
            <w:pPr>
              <w:pStyle w:val="NoSpacing"/>
              <w:rPr>
                <w:rFonts w:ascii="Arial" w:hAnsi="Arial" w:cs="Arial"/>
              </w:rPr>
            </w:pPr>
            <w:r w:rsidRPr="00FA30B2">
              <w:rPr>
                <w:rFonts w:ascii="Arial" w:hAnsi="Arial" w:cs="Arial"/>
              </w:rPr>
              <w:t>Annual</w:t>
            </w:r>
          </w:p>
        </w:tc>
        <w:tc>
          <w:tcPr>
            <w:tcW w:w="1590" w:type="dxa"/>
            <w:tcBorders>
              <w:top w:val="single" w:sz="4" w:space="0" w:color="auto"/>
              <w:left w:val="single" w:sz="4" w:space="0" w:color="auto"/>
              <w:bottom w:val="single" w:sz="4" w:space="0" w:color="auto"/>
              <w:right w:val="single" w:sz="4" w:space="0" w:color="auto"/>
            </w:tcBorders>
          </w:tcPr>
          <w:p w14:paraId="6FCEBACC" w14:textId="77777777" w:rsidR="00CE0C5D" w:rsidRPr="00FA30B2" w:rsidRDefault="00AF55DE" w:rsidP="00A13FE9">
            <w:pPr>
              <w:pStyle w:val="NoSpacing"/>
              <w:rPr>
                <w:rFonts w:ascii="Arial" w:hAnsi="Arial" w:cs="Arial"/>
              </w:rPr>
            </w:pPr>
            <w:r w:rsidRPr="00FA30B2">
              <w:rPr>
                <w:rFonts w:ascii="Arial" w:hAnsi="Arial" w:cs="Arial"/>
              </w:rPr>
              <w:t xml:space="preserve">Adults </w:t>
            </w:r>
            <w:r>
              <w:rPr>
                <w:rFonts w:ascii="Arial" w:hAnsi="Arial" w:cs="Arial"/>
              </w:rPr>
              <w:t xml:space="preserve">Services and Health and </w:t>
            </w:r>
            <w:r>
              <w:rPr>
                <w:rFonts w:ascii="Arial" w:hAnsi="Arial" w:cs="Arial"/>
              </w:rPr>
              <w:t>Wellbeing</w:t>
            </w:r>
          </w:p>
        </w:tc>
        <w:tc>
          <w:tcPr>
            <w:tcW w:w="7933" w:type="dxa"/>
            <w:gridSpan w:val="6"/>
          </w:tcPr>
          <w:p w14:paraId="66652B04" w14:textId="4EE32C12" w:rsidR="00E57D02" w:rsidRPr="00053DB9" w:rsidRDefault="00AF55DE">
            <w:pPr>
              <w:rPr>
                <w:sz w:val="22"/>
                <w:szCs w:val="22"/>
              </w:rPr>
            </w:pPr>
            <w:r w:rsidRPr="00053DB9">
              <w:rPr>
                <w:sz w:val="22"/>
                <w:szCs w:val="22"/>
              </w:rPr>
              <w:t>Report</w:t>
            </w:r>
            <w:r w:rsidR="17E59442" w:rsidRPr="00053DB9">
              <w:rPr>
                <w:sz w:val="22"/>
                <w:szCs w:val="22"/>
              </w:rPr>
              <w:t>ed separately (CCPI on 9</w:t>
            </w:r>
            <w:r w:rsidR="17E59442" w:rsidRPr="00053DB9">
              <w:rPr>
                <w:sz w:val="22"/>
                <w:szCs w:val="22"/>
                <w:vertAlign w:val="superscript"/>
              </w:rPr>
              <w:t>th</w:t>
            </w:r>
            <w:r w:rsidR="17E59442" w:rsidRPr="00053DB9">
              <w:rPr>
                <w:sz w:val="22"/>
                <w:szCs w:val="22"/>
              </w:rPr>
              <w:t xml:space="preserve"> September 2021)</w:t>
            </w:r>
            <w:r w:rsidRPr="00053DB9">
              <w:rPr>
                <w:sz w:val="22"/>
                <w:szCs w:val="22"/>
              </w:rPr>
              <w:t>.</w:t>
            </w:r>
          </w:p>
        </w:tc>
      </w:tr>
      <w:tr w:rsidR="00BB349C" w14:paraId="693DF42E" w14:textId="77777777" w:rsidTr="78C3123E">
        <w:trPr>
          <w:trHeight w:val="557"/>
        </w:trPr>
        <w:tc>
          <w:tcPr>
            <w:tcW w:w="2940" w:type="dxa"/>
            <w:tcBorders>
              <w:top w:val="single" w:sz="4" w:space="0" w:color="auto"/>
              <w:left w:val="single" w:sz="4" w:space="0" w:color="auto"/>
              <w:bottom w:val="single" w:sz="4" w:space="0" w:color="auto"/>
              <w:right w:val="single" w:sz="4" w:space="0" w:color="auto"/>
            </w:tcBorders>
            <w:hideMark/>
          </w:tcPr>
          <w:p w14:paraId="25A95EF7" w14:textId="48C9B6A6" w:rsidR="0058291F" w:rsidRPr="0060756D" w:rsidRDefault="00AF55DE" w:rsidP="0058291F">
            <w:pPr>
              <w:pStyle w:val="NoSpacing"/>
              <w:rPr>
                <w:rFonts w:ascii="Arial" w:hAnsi="Arial" w:cs="Arial"/>
              </w:rPr>
            </w:pPr>
            <w:r w:rsidRPr="0060756D">
              <w:rPr>
                <w:rFonts w:ascii="Arial" w:hAnsi="Arial" w:cs="Arial"/>
              </w:rPr>
              <w:t>Percentage of older people (65 and over) who were still at home 91 days after discharge from hospital into reablement/</w:t>
            </w:r>
            <w:r w:rsidR="00B76588">
              <w:rPr>
                <w:rFonts w:ascii="Arial" w:hAnsi="Arial" w:cs="Arial"/>
              </w:rPr>
              <w:t xml:space="preserve"> </w:t>
            </w:r>
            <w:r w:rsidRPr="0060756D">
              <w:rPr>
                <w:rFonts w:ascii="Arial" w:hAnsi="Arial" w:cs="Arial"/>
              </w:rPr>
              <w:t>rehabilitation services</w:t>
            </w:r>
          </w:p>
        </w:tc>
        <w:tc>
          <w:tcPr>
            <w:tcW w:w="1560" w:type="dxa"/>
            <w:tcBorders>
              <w:top w:val="single" w:sz="4" w:space="0" w:color="auto"/>
              <w:left w:val="single" w:sz="4" w:space="0" w:color="auto"/>
              <w:bottom w:val="single" w:sz="4" w:space="0" w:color="auto"/>
              <w:right w:val="single" w:sz="4" w:space="0" w:color="auto"/>
            </w:tcBorders>
            <w:hideMark/>
          </w:tcPr>
          <w:p w14:paraId="6DAD0391" w14:textId="77777777" w:rsidR="0058291F" w:rsidRPr="0060756D" w:rsidRDefault="00AF55DE" w:rsidP="0058291F">
            <w:pPr>
              <w:pStyle w:val="NoSpacing"/>
              <w:rPr>
                <w:rFonts w:ascii="Arial" w:hAnsi="Arial" w:cs="Arial"/>
              </w:rPr>
            </w:pPr>
            <w:r w:rsidRPr="0060756D">
              <w:rPr>
                <w:rFonts w:ascii="Arial" w:hAnsi="Arial" w:cs="Arial"/>
              </w:rPr>
              <w:t>Quarterly</w:t>
            </w:r>
          </w:p>
        </w:tc>
        <w:tc>
          <w:tcPr>
            <w:tcW w:w="1590" w:type="dxa"/>
            <w:tcBorders>
              <w:top w:val="single" w:sz="4" w:space="0" w:color="auto"/>
              <w:left w:val="single" w:sz="4" w:space="0" w:color="auto"/>
              <w:bottom w:val="single" w:sz="4" w:space="0" w:color="auto"/>
              <w:right w:val="single" w:sz="4" w:space="0" w:color="auto"/>
            </w:tcBorders>
          </w:tcPr>
          <w:p w14:paraId="216EC9B7" w14:textId="77777777" w:rsidR="0058291F" w:rsidRPr="0060756D" w:rsidRDefault="00AF55DE" w:rsidP="0058291F">
            <w:pPr>
              <w:pStyle w:val="NoSpacing"/>
              <w:rPr>
                <w:rFonts w:ascii="Arial" w:hAnsi="Arial" w:cs="Arial"/>
              </w:rPr>
            </w:pPr>
            <w:r w:rsidRPr="0060756D">
              <w:rPr>
                <w:rFonts w:ascii="Arial" w:hAnsi="Arial" w:cs="Arial"/>
              </w:rPr>
              <w:t xml:space="preserve">Adults Services and Health and </w:t>
            </w:r>
            <w:r w:rsidRPr="0060756D">
              <w:rPr>
                <w:rFonts w:ascii="Arial" w:hAnsi="Arial" w:cs="Arial"/>
              </w:rPr>
              <w:t>Wellbeing</w:t>
            </w:r>
          </w:p>
        </w:tc>
        <w:tc>
          <w:tcPr>
            <w:tcW w:w="1035" w:type="dxa"/>
            <w:tcBorders>
              <w:top w:val="single" w:sz="4" w:space="0" w:color="auto"/>
              <w:left w:val="single" w:sz="4" w:space="0" w:color="auto"/>
              <w:bottom w:val="single" w:sz="4" w:space="0" w:color="auto"/>
              <w:right w:val="single" w:sz="4" w:space="0" w:color="auto"/>
            </w:tcBorders>
          </w:tcPr>
          <w:p w14:paraId="323D24A8" w14:textId="77777777" w:rsidR="0058291F" w:rsidRPr="0060756D" w:rsidRDefault="00AF55DE" w:rsidP="0058291F">
            <w:pPr>
              <w:pStyle w:val="NoSpacing"/>
              <w:rPr>
                <w:rFonts w:ascii="Arial" w:hAnsi="Arial" w:cs="Arial"/>
              </w:rPr>
            </w:pPr>
            <w:r w:rsidRPr="0060756D">
              <w:rPr>
                <w:rFonts w:ascii="Arial" w:hAnsi="Arial" w:cs="Arial"/>
              </w:rPr>
              <w:t>High</w:t>
            </w:r>
          </w:p>
        </w:tc>
        <w:tc>
          <w:tcPr>
            <w:tcW w:w="123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ED0CAAE" w14:textId="19BD0BB1" w:rsidR="0058291F" w:rsidRPr="0060756D" w:rsidRDefault="00AF55DE" w:rsidP="78C3123E">
            <w:pPr>
              <w:pStyle w:val="NoSpacing"/>
              <w:jc w:val="center"/>
              <w:rPr>
                <w:rFonts w:ascii="Arial" w:hAnsi="Arial" w:cs="Arial"/>
              </w:rPr>
            </w:pPr>
            <w:r w:rsidRPr="78C3123E">
              <w:rPr>
                <w:rFonts w:ascii="Arial" w:hAnsi="Arial" w:cs="Arial"/>
              </w:rPr>
              <w:t>84.3%</w:t>
            </w:r>
          </w:p>
        </w:tc>
        <w:tc>
          <w:tcPr>
            <w:tcW w:w="129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AFC1BA5" w14:textId="24F23D4E" w:rsidR="0058291F" w:rsidRPr="0060756D" w:rsidRDefault="00AF55DE" w:rsidP="0058291F">
            <w:pPr>
              <w:pStyle w:val="NoSpacing"/>
              <w:jc w:val="center"/>
              <w:rPr>
                <w:rFonts w:ascii="Arial" w:hAnsi="Arial" w:cs="Arial"/>
              </w:rPr>
            </w:pPr>
            <w:r w:rsidRPr="62385CB5">
              <w:rPr>
                <w:rFonts w:ascii="Arial" w:hAnsi="Arial" w:cs="Arial"/>
              </w:rPr>
              <w:t>8</w:t>
            </w:r>
            <w:r w:rsidR="07878C75" w:rsidRPr="62385CB5">
              <w:rPr>
                <w:rFonts w:ascii="Arial" w:hAnsi="Arial" w:cs="Arial"/>
              </w:rPr>
              <w:t>1</w:t>
            </w:r>
            <w:r w:rsidRPr="62385CB5">
              <w:rPr>
                <w:rFonts w:ascii="Arial" w:hAnsi="Arial" w:cs="Arial"/>
              </w:rPr>
              <w:t>.</w:t>
            </w:r>
            <w:r w:rsidR="2BF25992" w:rsidRPr="62385CB5">
              <w:rPr>
                <w:rFonts w:ascii="Arial" w:hAnsi="Arial" w:cs="Arial"/>
              </w:rPr>
              <w:t>6</w:t>
            </w:r>
            <w:r w:rsidRPr="62385CB5">
              <w:rPr>
                <w:rFonts w:ascii="Arial" w:hAnsi="Arial" w:cs="Arial"/>
              </w:rPr>
              <w:t>%</w:t>
            </w:r>
          </w:p>
        </w:tc>
        <w:tc>
          <w:tcPr>
            <w:tcW w:w="162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4BD901D" w14:textId="7F801A81" w:rsidR="0058291F" w:rsidRPr="0060756D" w:rsidRDefault="00AF55DE" w:rsidP="0058291F">
            <w:pPr>
              <w:pStyle w:val="NoSpacing"/>
              <w:jc w:val="center"/>
              <w:rPr>
                <w:rFonts w:ascii="Arial" w:hAnsi="Arial" w:cs="Arial"/>
              </w:rPr>
            </w:pPr>
            <w:r w:rsidRPr="62385CB5">
              <w:rPr>
                <w:rFonts w:ascii="Arial" w:hAnsi="Arial" w:cs="Arial"/>
              </w:rPr>
              <w:t>84.</w:t>
            </w:r>
            <w:r w:rsidR="056AEB67" w:rsidRPr="62385CB5">
              <w:rPr>
                <w:rFonts w:ascii="Arial" w:hAnsi="Arial" w:cs="Arial"/>
              </w:rPr>
              <w:t>4</w:t>
            </w:r>
            <w:r w:rsidRPr="62385CB5">
              <w:rPr>
                <w:rFonts w:ascii="Arial" w:hAnsi="Arial" w:cs="Arial"/>
              </w:rPr>
              <w:t>%</w:t>
            </w:r>
          </w:p>
        </w:tc>
        <w:tc>
          <w:tcPr>
            <w:tcW w:w="156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74E7615" w14:textId="742E6415" w:rsidR="0058291F" w:rsidRPr="0060756D" w:rsidRDefault="00AF55DE" w:rsidP="0058291F">
            <w:pPr>
              <w:pStyle w:val="NoSpacing"/>
              <w:jc w:val="center"/>
              <w:rPr>
                <w:rFonts w:ascii="Arial" w:hAnsi="Arial" w:cs="Arial"/>
              </w:rPr>
            </w:pPr>
            <w:r w:rsidRPr="62385CB5">
              <w:rPr>
                <w:rFonts w:ascii="Arial" w:hAnsi="Arial" w:cs="Arial"/>
              </w:rPr>
              <w:t>8</w:t>
            </w:r>
            <w:r w:rsidR="3ED3D9BE" w:rsidRPr="62385CB5">
              <w:rPr>
                <w:rFonts w:ascii="Arial" w:hAnsi="Arial" w:cs="Arial"/>
              </w:rPr>
              <w:t>6</w:t>
            </w:r>
            <w:r w:rsidRPr="62385CB5">
              <w:rPr>
                <w:rFonts w:ascii="Arial" w:hAnsi="Arial" w:cs="Arial"/>
              </w:rPr>
              <w:t>.</w:t>
            </w:r>
            <w:r w:rsidR="4F254E83" w:rsidRPr="62385CB5">
              <w:rPr>
                <w:rFonts w:ascii="Arial" w:hAnsi="Arial" w:cs="Arial"/>
              </w:rPr>
              <w:t>7</w:t>
            </w:r>
            <w:r w:rsidRPr="62385CB5">
              <w:rPr>
                <w:rFonts w:ascii="Arial" w:hAnsi="Arial" w:cs="Arial"/>
              </w:rPr>
              <w:t>%</w:t>
            </w:r>
          </w:p>
        </w:tc>
        <w:tc>
          <w:tcPr>
            <w:tcW w:w="1183" w:type="dxa"/>
            <w:tcBorders>
              <w:top w:val="single" w:sz="4" w:space="0" w:color="auto"/>
              <w:left w:val="single" w:sz="4" w:space="0" w:color="auto"/>
              <w:bottom w:val="single" w:sz="4" w:space="0" w:color="auto"/>
              <w:right w:val="single" w:sz="4" w:space="0" w:color="auto"/>
            </w:tcBorders>
            <w:shd w:val="clear" w:color="auto" w:fill="FFFFFF" w:themeFill="background1"/>
          </w:tcPr>
          <w:p w14:paraId="37BD819C" w14:textId="7A6060DE" w:rsidR="0058291F" w:rsidRPr="0060756D" w:rsidRDefault="00AF55DE" w:rsidP="0058291F">
            <w:pPr>
              <w:pStyle w:val="NoSpacing"/>
              <w:jc w:val="center"/>
              <w:rPr>
                <w:rFonts w:ascii="Arial" w:hAnsi="Arial" w:cs="Arial"/>
              </w:rPr>
            </w:pPr>
            <w:r w:rsidRPr="78C3123E">
              <w:rPr>
                <w:rFonts w:ascii="Arial" w:hAnsi="Arial" w:cs="Arial"/>
              </w:rPr>
              <w:t>8</w:t>
            </w:r>
            <w:r w:rsidR="5FB37049" w:rsidRPr="78C3123E">
              <w:rPr>
                <w:rFonts w:ascii="Arial" w:hAnsi="Arial" w:cs="Arial"/>
              </w:rPr>
              <w:t>7</w:t>
            </w:r>
            <w:r w:rsidRPr="78C3123E">
              <w:rPr>
                <w:rFonts w:ascii="Arial" w:hAnsi="Arial" w:cs="Arial"/>
              </w:rPr>
              <w:t>.</w:t>
            </w:r>
            <w:r w:rsidR="672491C7" w:rsidRPr="78C3123E">
              <w:rPr>
                <w:rFonts w:ascii="Arial" w:hAnsi="Arial" w:cs="Arial"/>
              </w:rPr>
              <w:t>4</w:t>
            </w:r>
            <w:r w:rsidRPr="78C3123E">
              <w:rPr>
                <w:rFonts w:ascii="Arial" w:hAnsi="Arial" w:cs="Arial"/>
              </w:rPr>
              <w:t>%</w:t>
            </w:r>
          </w:p>
        </w:tc>
      </w:tr>
      <w:tr w:rsidR="00BB349C" w14:paraId="43913760" w14:textId="77777777" w:rsidTr="78C3123E">
        <w:trPr>
          <w:trHeight w:val="666"/>
        </w:trPr>
        <w:tc>
          <w:tcPr>
            <w:tcW w:w="2940" w:type="dxa"/>
            <w:tcBorders>
              <w:top w:val="single" w:sz="4" w:space="0" w:color="auto"/>
              <w:left w:val="single" w:sz="4" w:space="0" w:color="auto"/>
              <w:bottom w:val="single" w:sz="4" w:space="0" w:color="auto"/>
              <w:right w:val="single" w:sz="4" w:space="0" w:color="auto"/>
            </w:tcBorders>
            <w:hideMark/>
          </w:tcPr>
          <w:p w14:paraId="08CD663A" w14:textId="77777777" w:rsidR="0058291F" w:rsidRPr="0060756D" w:rsidRDefault="00AF55DE" w:rsidP="0058291F">
            <w:pPr>
              <w:pStyle w:val="NoSpacing"/>
              <w:rPr>
                <w:rFonts w:ascii="Arial" w:hAnsi="Arial" w:cs="Arial"/>
                <w:i/>
              </w:rPr>
            </w:pPr>
            <w:r w:rsidRPr="0060756D">
              <w:rPr>
                <w:rFonts w:ascii="Arial" w:hAnsi="Arial" w:cs="Arial"/>
              </w:rPr>
              <w:t>Proportion of adults with learning disabilities who live in their own home</w:t>
            </w:r>
          </w:p>
        </w:tc>
        <w:tc>
          <w:tcPr>
            <w:tcW w:w="1560" w:type="dxa"/>
            <w:tcBorders>
              <w:top w:val="single" w:sz="4" w:space="0" w:color="auto"/>
              <w:left w:val="single" w:sz="4" w:space="0" w:color="auto"/>
              <w:bottom w:val="single" w:sz="4" w:space="0" w:color="auto"/>
              <w:right w:val="single" w:sz="4" w:space="0" w:color="auto"/>
            </w:tcBorders>
            <w:hideMark/>
          </w:tcPr>
          <w:p w14:paraId="4AD7668F" w14:textId="77777777" w:rsidR="0058291F" w:rsidRPr="0060756D" w:rsidRDefault="00AF55DE" w:rsidP="0058291F">
            <w:pPr>
              <w:pStyle w:val="NoSpacing"/>
              <w:rPr>
                <w:rFonts w:ascii="Arial" w:hAnsi="Arial" w:cs="Arial"/>
                <w:i/>
              </w:rPr>
            </w:pPr>
            <w:r w:rsidRPr="0060756D">
              <w:rPr>
                <w:rFonts w:ascii="Arial" w:hAnsi="Arial" w:cs="Arial"/>
              </w:rPr>
              <w:t>Quarterly</w:t>
            </w:r>
          </w:p>
        </w:tc>
        <w:tc>
          <w:tcPr>
            <w:tcW w:w="1590" w:type="dxa"/>
            <w:tcBorders>
              <w:top w:val="single" w:sz="4" w:space="0" w:color="auto"/>
              <w:left w:val="single" w:sz="4" w:space="0" w:color="auto"/>
              <w:bottom w:val="single" w:sz="4" w:space="0" w:color="auto"/>
              <w:right w:val="single" w:sz="4" w:space="0" w:color="auto"/>
            </w:tcBorders>
          </w:tcPr>
          <w:p w14:paraId="44864B39" w14:textId="77777777" w:rsidR="0058291F" w:rsidRPr="0060756D" w:rsidRDefault="00AF55DE" w:rsidP="0058291F">
            <w:pPr>
              <w:pStyle w:val="NoSpacing"/>
              <w:rPr>
                <w:rFonts w:ascii="Arial" w:hAnsi="Arial" w:cs="Arial"/>
              </w:rPr>
            </w:pPr>
            <w:r w:rsidRPr="0060756D">
              <w:rPr>
                <w:rFonts w:ascii="Arial" w:hAnsi="Arial" w:cs="Arial"/>
              </w:rPr>
              <w:t>Adults Services and Health and Wellbeing</w:t>
            </w:r>
          </w:p>
        </w:tc>
        <w:tc>
          <w:tcPr>
            <w:tcW w:w="1035" w:type="dxa"/>
            <w:tcBorders>
              <w:top w:val="single" w:sz="4" w:space="0" w:color="auto"/>
              <w:left w:val="single" w:sz="4" w:space="0" w:color="auto"/>
              <w:bottom w:val="single" w:sz="4" w:space="0" w:color="auto"/>
              <w:right w:val="single" w:sz="4" w:space="0" w:color="auto"/>
            </w:tcBorders>
          </w:tcPr>
          <w:p w14:paraId="6F00AA49" w14:textId="77777777" w:rsidR="0058291F" w:rsidRPr="0060756D" w:rsidRDefault="00AF55DE" w:rsidP="0058291F">
            <w:pPr>
              <w:pStyle w:val="NoSpacing"/>
              <w:rPr>
                <w:rFonts w:ascii="Arial" w:hAnsi="Arial" w:cs="Arial"/>
              </w:rPr>
            </w:pPr>
            <w:r w:rsidRPr="0060756D">
              <w:rPr>
                <w:rFonts w:ascii="Arial" w:hAnsi="Arial" w:cs="Arial"/>
              </w:rPr>
              <w:t>High</w:t>
            </w:r>
          </w:p>
        </w:tc>
        <w:tc>
          <w:tcPr>
            <w:tcW w:w="123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C488BF4" w14:textId="77777777" w:rsidR="0058291F" w:rsidRPr="0060756D" w:rsidRDefault="00AF55DE" w:rsidP="0058291F">
            <w:pPr>
              <w:pStyle w:val="NoSpacing"/>
              <w:jc w:val="center"/>
              <w:rPr>
                <w:rFonts w:ascii="Arial" w:hAnsi="Arial" w:cs="Arial"/>
              </w:rPr>
            </w:pPr>
            <w:r w:rsidRPr="0060756D">
              <w:rPr>
                <w:rFonts w:ascii="Arial" w:hAnsi="Arial" w:cs="Arial"/>
              </w:rPr>
              <w:t>82.1%</w:t>
            </w:r>
          </w:p>
        </w:tc>
        <w:tc>
          <w:tcPr>
            <w:tcW w:w="129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62DFF96" w14:textId="283E9974" w:rsidR="0058291F" w:rsidRPr="0060756D" w:rsidRDefault="00AF55DE" w:rsidP="0058291F">
            <w:pPr>
              <w:pStyle w:val="NoSpacing"/>
              <w:jc w:val="center"/>
              <w:rPr>
                <w:rFonts w:ascii="Arial" w:hAnsi="Arial" w:cs="Arial"/>
              </w:rPr>
            </w:pPr>
            <w:r w:rsidRPr="62385CB5">
              <w:rPr>
                <w:rFonts w:ascii="Arial" w:hAnsi="Arial" w:cs="Arial"/>
              </w:rPr>
              <w:t>8</w:t>
            </w:r>
            <w:r w:rsidR="6834D007" w:rsidRPr="62385CB5">
              <w:rPr>
                <w:rFonts w:ascii="Arial" w:hAnsi="Arial" w:cs="Arial"/>
              </w:rPr>
              <w:t>3.0</w:t>
            </w:r>
            <w:r w:rsidRPr="62385CB5">
              <w:rPr>
                <w:rFonts w:ascii="Arial" w:hAnsi="Arial" w:cs="Arial"/>
              </w:rPr>
              <w:t>%</w:t>
            </w:r>
          </w:p>
        </w:tc>
        <w:tc>
          <w:tcPr>
            <w:tcW w:w="162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DB2DF5B" w14:textId="34E72FB2" w:rsidR="0058291F" w:rsidRPr="0060756D" w:rsidRDefault="00AF55DE" w:rsidP="0058291F">
            <w:pPr>
              <w:pStyle w:val="NoSpacing"/>
              <w:jc w:val="center"/>
              <w:rPr>
                <w:rFonts w:ascii="Arial" w:hAnsi="Arial" w:cs="Arial"/>
              </w:rPr>
            </w:pPr>
            <w:r w:rsidRPr="62385CB5">
              <w:rPr>
                <w:rFonts w:ascii="Arial" w:hAnsi="Arial" w:cs="Arial"/>
              </w:rPr>
              <w:t>81</w:t>
            </w:r>
            <w:r w:rsidR="17E9D377" w:rsidRPr="62385CB5">
              <w:rPr>
                <w:rFonts w:ascii="Arial" w:hAnsi="Arial" w:cs="Arial"/>
              </w:rPr>
              <w:t>.6%</w:t>
            </w:r>
          </w:p>
        </w:tc>
        <w:tc>
          <w:tcPr>
            <w:tcW w:w="156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22F72EF" w14:textId="0AB92626" w:rsidR="0058291F" w:rsidRPr="0060756D" w:rsidRDefault="00AF55DE" w:rsidP="0058291F">
            <w:pPr>
              <w:pStyle w:val="NoSpacing"/>
              <w:jc w:val="center"/>
              <w:rPr>
                <w:rFonts w:ascii="Arial" w:hAnsi="Arial" w:cs="Arial"/>
              </w:rPr>
            </w:pPr>
            <w:r w:rsidRPr="62385CB5">
              <w:rPr>
                <w:rFonts w:ascii="Arial" w:hAnsi="Arial" w:cs="Arial"/>
              </w:rPr>
              <w:t>81.1</w:t>
            </w:r>
            <w:r w:rsidR="17E9D377" w:rsidRPr="62385CB5">
              <w:rPr>
                <w:rFonts w:ascii="Arial" w:hAnsi="Arial" w:cs="Arial"/>
              </w:rPr>
              <w:t>%</w:t>
            </w:r>
          </w:p>
        </w:tc>
        <w:tc>
          <w:tcPr>
            <w:tcW w:w="1183" w:type="dxa"/>
            <w:tcBorders>
              <w:top w:val="single" w:sz="4" w:space="0" w:color="auto"/>
              <w:left w:val="single" w:sz="4" w:space="0" w:color="auto"/>
              <w:bottom w:val="single" w:sz="4" w:space="0" w:color="auto"/>
              <w:right w:val="single" w:sz="4" w:space="0" w:color="auto"/>
            </w:tcBorders>
            <w:shd w:val="clear" w:color="auto" w:fill="FFFFFF" w:themeFill="background1"/>
          </w:tcPr>
          <w:p w14:paraId="43D2C3EA" w14:textId="27A98CE5" w:rsidR="0058291F" w:rsidRPr="0060756D" w:rsidRDefault="00AF55DE" w:rsidP="0058291F">
            <w:pPr>
              <w:pStyle w:val="NoSpacing"/>
              <w:jc w:val="center"/>
              <w:rPr>
                <w:rFonts w:ascii="Arial" w:hAnsi="Arial" w:cs="Arial"/>
              </w:rPr>
            </w:pPr>
            <w:r w:rsidRPr="62385CB5">
              <w:rPr>
                <w:rFonts w:ascii="Arial" w:hAnsi="Arial" w:cs="Arial"/>
              </w:rPr>
              <w:t>8</w:t>
            </w:r>
            <w:r w:rsidR="1A6FFCD6" w:rsidRPr="62385CB5">
              <w:rPr>
                <w:rFonts w:ascii="Arial" w:hAnsi="Arial" w:cs="Arial"/>
              </w:rPr>
              <w:t>6</w:t>
            </w:r>
            <w:r w:rsidRPr="62385CB5">
              <w:rPr>
                <w:rFonts w:ascii="Arial" w:hAnsi="Arial" w:cs="Arial"/>
              </w:rPr>
              <w:t>%</w:t>
            </w:r>
          </w:p>
        </w:tc>
      </w:tr>
      <w:tr w:rsidR="00BB349C" w14:paraId="161BFC9B" w14:textId="77777777" w:rsidTr="78C3123E">
        <w:trPr>
          <w:trHeight w:val="666"/>
        </w:trPr>
        <w:tc>
          <w:tcPr>
            <w:tcW w:w="2940" w:type="dxa"/>
            <w:tcBorders>
              <w:top w:val="single" w:sz="4" w:space="0" w:color="auto"/>
              <w:left w:val="single" w:sz="4" w:space="0" w:color="auto"/>
              <w:bottom w:val="single" w:sz="4" w:space="0" w:color="auto"/>
              <w:right w:val="single" w:sz="4" w:space="0" w:color="auto"/>
            </w:tcBorders>
            <w:hideMark/>
          </w:tcPr>
          <w:p w14:paraId="35063804" w14:textId="17637733" w:rsidR="00CE0C5D" w:rsidRPr="0060756D" w:rsidRDefault="00AF55DE" w:rsidP="62385CB5">
            <w:pPr>
              <w:pStyle w:val="NoSpacing"/>
              <w:rPr>
                <w:rFonts w:ascii="Arial" w:hAnsi="Arial" w:cs="Arial"/>
              </w:rPr>
            </w:pPr>
            <w:r w:rsidRPr="62385CB5">
              <w:rPr>
                <w:rFonts w:ascii="Arial" w:hAnsi="Arial" w:cs="Arial"/>
              </w:rPr>
              <w:t xml:space="preserve">Proportion of adults and older people </w:t>
            </w:r>
            <w:r w:rsidRPr="62385CB5">
              <w:rPr>
                <w:rFonts w:ascii="Arial" w:hAnsi="Arial" w:cs="Arial"/>
              </w:rPr>
              <w:t>receiving long term services who are supported in the community</w:t>
            </w:r>
          </w:p>
        </w:tc>
        <w:tc>
          <w:tcPr>
            <w:tcW w:w="1560" w:type="dxa"/>
            <w:tcBorders>
              <w:top w:val="single" w:sz="4" w:space="0" w:color="auto"/>
              <w:left w:val="single" w:sz="4" w:space="0" w:color="auto"/>
              <w:bottom w:val="single" w:sz="4" w:space="0" w:color="auto"/>
              <w:right w:val="single" w:sz="4" w:space="0" w:color="auto"/>
            </w:tcBorders>
            <w:hideMark/>
          </w:tcPr>
          <w:p w14:paraId="4A9FB8A2" w14:textId="77777777" w:rsidR="0058291F" w:rsidRPr="0060756D" w:rsidRDefault="00AF55DE" w:rsidP="0058291F">
            <w:pPr>
              <w:pStyle w:val="NoSpacing"/>
              <w:rPr>
                <w:rFonts w:ascii="Arial" w:hAnsi="Arial" w:cs="Arial"/>
                <w:i/>
              </w:rPr>
            </w:pPr>
            <w:r w:rsidRPr="0060756D">
              <w:rPr>
                <w:rFonts w:ascii="Arial" w:hAnsi="Arial" w:cs="Arial"/>
              </w:rPr>
              <w:t>Quarterly</w:t>
            </w:r>
          </w:p>
        </w:tc>
        <w:tc>
          <w:tcPr>
            <w:tcW w:w="1590" w:type="dxa"/>
            <w:tcBorders>
              <w:top w:val="single" w:sz="4" w:space="0" w:color="auto"/>
              <w:left w:val="single" w:sz="4" w:space="0" w:color="auto"/>
              <w:bottom w:val="single" w:sz="4" w:space="0" w:color="auto"/>
              <w:right w:val="single" w:sz="4" w:space="0" w:color="auto"/>
            </w:tcBorders>
          </w:tcPr>
          <w:p w14:paraId="6C7B0E1E" w14:textId="77777777" w:rsidR="0058291F" w:rsidRPr="0060756D" w:rsidRDefault="00AF55DE" w:rsidP="0058291F">
            <w:pPr>
              <w:pStyle w:val="NoSpacing"/>
              <w:rPr>
                <w:rFonts w:ascii="Arial" w:hAnsi="Arial" w:cs="Arial"/>
              </w:rPr>
            </w:pPr>
            <w:r w:rsidRPr="0060756D">
              <w:rPr>
                <w:rFonts w:ascii="Arial" w:hAnsi="Arial" w:cs="Arial"/>
              </w:rPr>
              <w:t>Adults Services and Health and Wellbeing</w:t>
            </w:r>
          </w:p>
        </w:tc>
        <w:tc>
          <w:tcPr>
            <w:tcW w:w="1035" w:type="dxa"/>
            <w:tcBorders>
              <w:top w:val="single" w:sz="4" w:space="0" w:color="auto"/>
              <w:left w:val="single" w:sz="4" w:space="0" w:color="auto"/>
              <w:bottom w:val="single" w:sz="4" w:space="0" w:color="auto"/>
              <w:right w:val="single" w:sz="4" w:space="0" w:color="auto"/>
            </w:tcBorders>
          </w:tcPr>
          <w:p w14:paraId="47D98AFC" w14:textId="77777777" w:rsidR="0058291F" w:rsidRPr="0060756D" w:rsidRDefault="00AF55DE" w:rsidP="0058291F">
            <w:pPr>
              <w:pStyle w:val="NoSpacing"/>
              <w:rPr>
                <w:rFonts w:ascii="Arial" w:hAnsi="Arial" w:cs="Arial"/>
              </w:rPr>
            </w:pPr>
            <w:r w:rsidRPr="0060756D">
              <w:rPr>
                <w:rFonts w:ascii="Arial" w:hAnsi="Arial" w:cs="Arial"/>
              </w:rPr>
              <w:t>High</w:t>
            </w:r>
          </w:p>
        </w:tc>
        <w:tc>
          <w:tcPr>
            <w:tcW w:w="123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C02F90C" w14:textId="77777777" w:rsidR="0058291F" w:rsidRPr="0060756D" w:rsidRDefault="00AF55DE" w:rsidP="0058291F">
            <w:pPr>
              <w:pStyle w:val="NoSpacing"/>
              <w:jc w:val="center"/>
              <w:rPr>
                <w:rFonts w:ascii="Arial" w:hAnsi="Arial" w:cs="Arial"/>
              </w:rPr>
            </w:pPr>
            <w:r w:rsidRPr="0060756D">
              <w:rPr>
                <w:rFonts w:ascii="Arial" w:hAnsi="Arial" w:cs="Arial"/>
              </w:rPr>
              <w:t>69.7%</w:t>
            </w:r>
          </w:p>
        </w:tc>
        <w:tc>
          <w:tcPr>
            <w:tcW w:w="129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91929E3" w14:textId="2B352223" w:rsidR="0058291F" w:rsidRPr="0060756D" w:rsidRDefault="00AF55DE" w:rsidP="0058291F">
            <w:pPr>
              <w:pStyle w:val="NoSpacing"/>
              <w:jc w:val="center"/>
              <w:rPr>
                <w:rFonts w:ascii="Arial" w:hAnsi="Arial" w:cs="Arial"/>
              </w:rPr>
            </w:pPr>
            <w:r w:rsidRPr="62385CB5">
              <w:rPr>
                <w:rFonts w:ascii="Arial" w:hAnsi="Arial" w:cs="Arial"/>
              </w:rPr>
              <w:t>7</w:t>
            </w:r>
            <w:r w:rsidR="4BF2D3E7" w:rsidRPr="62385CB5">
              <w:rPr>
                <w:rFonts w:ascii="Arial" w:hAnsi="Arial" w:cs="Arial"/>
              </w:rPr>
              <w:t>2.3</w:t>
            </w:r>
            <w:r w:rsidRPr="62385CB5">
              <w:rPr>
                <w:rFonts w:ascii="Arial" w:hAnsi="Arial" w:cs="Arial"/>
              </w:rPr>
              <w:t>%</w:t>
            </w:r>
          </w:p>
        </w:tc>
        <w:tc>
          <w:tcPr>
            <w:tcW w:w="162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568ABEC" w14:textId="41945070" w:rsidR="0058291F" w:rsidRPr="0060756D" w:rsidRDefault="00AF55DE" w:rsidP="0058291F">
            <w:pPr>
              <w:pStyle w:val="NoSpacing"/>
              <w:jc w:val="center"/>
              <w:rPr>
                <w:rFonts w:ascii="Arial" w:hAnsi="Arial" w:cs="Arial"/>
              </w:rPr>
            </w:pPr>
            <w:r w:rsidRPr="62385CB5">
              <w:rPr>
                <w:rFonts w:ascii="Arial" w:hAnsi="Arial" w:cs="Arial"/>
              </w:rPr>
              <w:t>7</w:t>
            </w:r>
            <w:r w:rsidR="0F736A71" w:rsidRPr="62385CB5">
              <w:rPr>
                <w:rFonts w:ascii="Arial" w:hAnsi="Arial" w:cs="Arial"/>
              </w:rPr>
              <w:t>1</w:t>
            </w:r>
            <w:r w:rsidRPr="62385CB5">
              <w:rPr>
                <w:rFonts w:ascii="Arial" w:hAnsi="Arial" w:cs="Arial"/>
              </w:rPr>
              <w:t>.</w:t>
            </w:r>
            <w:r w:rsidR="4E39E0B8" w:rsidRPr="62385CB5">
              <w:rPr>
                <w:rFonts w:ascii="Arial" w:hAnsi="Arial" w:cs="Arial"/>
              </w:rPr>
              <w:t>4</w:t>
            </w:r>
            <w:r w:rsidRPr="62385CB5">
              <w:rPr>
                <w:rFonts w:ascii="Arial" w:hAnsi="Arial" w:cs="Arial"/>
              </w:rPr>
              <w:t>%</w:t>
            </w:r>
          </w:p>
        </w:tc>
        <w:tc>
          <w:tcPr>
            <w:tcW w:w="156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B98815B" w14:textId="7094DFEB" w:rsidR="0058291F" w:rsidRPr="0060756D" w:rsidRDefault="00AF55DE" w:rsidP="0058291F">
            <w:pPr>
              <w:pStyle w:val="NoSpacing"/>
              <w:jc w:val="center"/>
              <w:rPr>
                <w:rFonts w:ascii="Arial" w:hAnsi="Arial" w:cs="Arial"/>
              </w:rPr>
            </w:pPr>
            <w:r w:rsidRPr="62385CB5">
              <w:rPr>
                <w:rFonts w:ascii="Arial" w:hAnsi="Arial" w:cs="Arial"/>
              </w:rPr>
              <w:t>7</w:t>
            </w:r>
            <w:r w:rsidR="0721F418" w:rsidRPr="62385CB5">
              <w:rPr>
                <w:rFonts w:ascii="Arial" w:hAnsi="Arial" w:cs="Arial"/>
              </w:rPr>
              <w:t>1</w:t>
            </w:r>
            <w:r w:rsidRPr="62385CB5">
              <w:rPr>
                <w:rFonts w:ascii="Arial" w:hAnsi="Arial" w:cs="Arial"/>
              </w:rPr>
              <w:t>.</w:t>
            </w:r>
            <w:r w:rsidR="7A9C1EA1" w:rsidRPr="62385CB5">
              <w:rPr>
                <w:rFonts w:ascii="Arial" w:hAnsi="Arial" w:cs="Arial"/>
              </w:rPr>
              <w:t>5</w:t>
            </w:r>
            <w:r w:rsidRPr="62385CB5">
              <w:rPr>
                <w:rFonts w:ascii="Arial" w:hAnsi="Arial" w:cs="Arial"/>
              </w:rPr>
              <w:t>%</w:t>
            </w:r>
          </w:p>
        </w:tc>
        <w:tc>
          <w:tcPr>
            <w:tcW w:w="1183" w:type="dxa"/>
            <w:tcBorders>
              <w:top w:val="single" w:sz="4" w:space="0" w:color="auto"/>
              <w:left w:val="single" w:sz="4" w:space="0" w:color="auto"/>
              <w:bottom w:val="single" w:sz="4" w:space="0" w:color="auto"/>
              <w:right w:val="single" w:sz="4" w:space="0" w:color="auto"/>
            </w:tcBorders>
            <w:shd w:val="clear" w:color="auto" w:fill="FFFFFF" w:themeFill="background1"/>
          </w:tcPr>
          <w:p w14:paraId="720DD91E" w14:textId="6B9481B7" w:rsidR="0058291F" w:rsidRPr="0060756D" w:rsidRDefault="00AF55DE" w:rsidP="0058291F">
            <w:pPr>
              <w:pStyle w:val="NoSpacing"/>
              <w:jc w:val="center"/>
              <w:rPr>
                <w:rFonts w:ascii="Arial" w:hAnsi="Arial" w:cs="Arial"/>
              </w:rPr>
            </w:pPr>
            <w:r w:rsidRPr="62385CB5">
              <w:rPr>
                <w:rFonts w:ascii="Arial" w:hAnsi="Arial" w:cs="Arial"/>
              </w:rPr>
              <w:t>72</w:t>
            </w:r>
            <w:r w:rsidR="11EBEAEC" w:rsidRPr="62385CB5">
              <w:rPr>
                <w:rFonts w:ascii="Arial" w:hAnsi="Arial" w:cs="Arial"/>
              </w:rPr>
              <w:t>%</w:t>
            </w:r>
          </w:p>
        </w:tc>
      </w:tr>
      <w:tr w:rsidR="00BB349C" w14:paraId="439AF7EC" w14:textId="77777777" w:rsidTr="78C3123E">
        <w:trPr>
          <w:trHeight w:val="69"/>
        </w:trPr>
        <w:tc>
          <w:tcPr>
            <w:tcW w:w="2940" w:type="dxa"/>
            <w:tcBorders>
              <w:top w:val="single" w:sz="4" w:space="0" w:color="auto"/>
              <w:left w:val="single" w:sz="4" w:space="0" w:color="auto"/>
              <w:bottom w:val="single" w:sz="4" w:space="0" w:color="auto"/>
              <w:right w:val="single" w:sz="4" w:space="0" w:color="auto"/>
            </w:tcBorders>
            <w:hideMark/>
          </w:tcPr>
          <w:p w14:paraId="4AB67C08" w14:textId="1F82C8AE" w:rsidR="0058291F" w:rsidRPr="0060756D" w:rsidRDefault="00AF55DE" w:rsidP="0058291F">
            <w:pPr>
              <w:pStyle w:val="NoSpacing"/>
              <w:rPr>
                <w:rFonts w:ascii="Arial" w:hAnsi="Arial" w:cs="Arial"/>
                <w:color w:val="000000"/>
              </w:rPr>
            </w:pPr>
            <w:r w:rsidRPr="0060756D">
              <w:rPr>
                <w:rFonts w:ascii="Arial" w:hAnsi="Arial" w:cs="Arial"/>
              </w:rPr>
              <w:t xml:space="preserve">Permanent admissions to residential and nursing care homes per 100,000 population aged 18-64 during the year </w:t>
            </w:r>
          </w:p>
        </w:tc>
        <w:tc>
          <w:tcPr>
            <w:tcW w:w="1560" w:type="dxa"/>
            <w:tcBorders>
              <w:top w:val="single" w:sz="4" w:space="0" w:color="auto"/>
              <w:left w:val="single" w:sz="4" w:space="0" w:color="auto"/>
              <w:bottom w:val="single" w:sz="4" w:space="0" w:color="auto"/>
              <w:right w:val="single" w:sz="4" w:space="0" w:color="auto"/>
            </w:tcBorders>
            <w:hideMark/>
          </w:tcPr>
          <w:p w14:paraId="21F2516A" w14:textId="77777777" w:rsidR="0058291F" w:rsidRDefault="0058291F" w:rsidP="0058291F">
            <w:pPr>
              <w:pStyle w:val="NoSpacing"/>
              <w:rPr>
                <w:rFonts w:ascii="Arial" w:hAnsi="Arial" w:cs="Arial"/>
              </w:rPr>
            </w:pPr>
          </w:p>
          <w:p w14:paraId="18EE0955" w14:textId="77777777" w:rsidR="0058291F" w:rsidRDefault="0058291F" w:rsidP="0058291F">
            <w:pPr>
              <w:pStyle w:val="NoSpacing"/>
              <w:rPr>
                <w:rFonts w:ascii="Arial" w:hAnsi="Arial" w:cs="Arial"/>
              </w:rPr>
            </w:pPr>
          </w:p>
          <w:p w14:paraId="55C121D0" w14:textId="3B391BD8" w:rsidR="0058291F" w:rsidRPr="0060756D" w:rsidRDefault="00AF55DE" w:rsidP="0058291F">
            <w:pPr>
              <w:pStyle w:val="NoSpacing"/>
              <w:rPr>
                <w:rFonts w:ascii="Arial" w:hAnsi="Arial" w:cs="Arial"/>
              </w:rPr>
            </w:pPr>
            <w:r w:rsidRPr="0060756D">
              <w:rPr>
                <w:rFonts w:ascii="Arial" w:hAnsi="Arial" w:cs="Arial"/>
              </w:rPr>
              <w:t>Quarterly</w:t>
            </w:r>
          </w:p>
        </w:tc>
        <w:tc>
          <w:tcPr>
            <w:tcW w:w="1590" w:type="dxa"/>
            <w:tcBorders>
              <w:top w:val="single" w:sz="4" w:space="0" w:color="auto"/>
              <w:left w:val="single" w:sz="4" w:space="0" w:color="auto"/>
              <w:bottom w:val="single" w:sz="4" w:space="0" w:color="auto"/>
              <w:right w:val="single" w:sz="4" w:space="0" w:color="auto"/>
            </w:tcBorders>
          </w:tcPr>
          <w:p w14:paraId="6D3AF968" w14:textId="77777777" w:rsidR="0058291F" w:rsidRPr="0060756D" w:rsidRDefault="00AF55DE" w:rsidP="0058291F">
            <w:pPr>
              <w:pStyle w:val="NoSpacing"/>
              <w:rPr>
                <w:rFonts w:ascii="Arial" w:hAnsi="Arial" w:cs="Arial"/>
              </w:rPr>
            </w:pPr>
            <w:r w:rsidRPr="0060756D">
              <w:rPr>
                <w:rFonts w:ascii="Arial" w:hAnsi="Arial" w:cs="Arial"/>
              </w:rPr>
              <w:t>Adults Services and Health and Wellbeing</w:t>
            </w:r>
          </w:p>
        </w:tc>
        <w:tc>
          <w:tcPr>
            <w:tcW w:w="1035" w:type="dxa"/>
            <w:tcBorders>
              <w:top w:val="single" w:sz="4" w:space="0" w:color="auto"/>
              <w:left w:val="single" w:sz="4" w:space="0" w:color="auto"/>
              <w:bottom w:val="single" w:sz="4" w:space="0" w:color="auto"/>
              <w:right w:val="single" w:sz="4" w:space="0" w:color="auto"/>
            </w:tcBorders>
          </w:tcPr>
          <w:p w14:paraId="0A7F0A9D" w14:textId="77777777" w:rsidR="0058291F" w:rsidRPr="0060756D" w:rsidRDefault="00AF55DE" w:rsidP="0058291F">
            <w:pPr>
              <w:pStyle w:val="NoSpacing"/>
              <w:rPr>
                <w:rFonts w:ascii="Arial" w:hAnsi="Arial" w:cs="Arial"/>
              </w:rPr>
            </w:pPr>
            <w:r w:rsidRPr="0060756D">
              <w:rPr>
                <w:rFonts w:ascii="Arial" w:hAnsi="Arial" w:cs="Arial"/>
              </w:rPr>
              <w:t>Low</w:t>
            </w:r>
          </w:p>
        </w:tc>
        <w:tc>
          <w:tcPr>
            <w:tcW w:w="123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559E705" w14:textId="77777777" w:rsidR="0058291F" w:rsidRPr="0060756D" w:rsidRDefault="00AF55DE" w:rsidP="0058291F">
            <w:pPr>
              <w:pStyle w:val="NoSpacing"/>
              <w:jc w:val="center"/>
              <w:rPr>
                <w:rFonts w:ascii="Arial" w:hAnsi="Arial" w:cs="Arial"/>
              </w:rPr>
            </w:pPr>
            <w:r w:rsidRPr="0060756D">
              <w:rPr>
                <w:rFonts w:ascii="Arial" w:hAnsi="Arial" w:cs="Arial"/>
              </w:rPr>
              <w:t>15.2</w:t>
            </w:r>
          </w:p>
        </w:tc>
        <w:tc>
          <w:tcPr>
            <w:tcW w:w="129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5009549" w14:textId="344C3A8C" w:rsidR="0058291F" w:rsidRPr="0060756D" w:rsidRDefault="00AF55DE" w:rsidP="0058291F">
            <w:pPr>
              <w:pStyle w:val="NoSpacing"/>
              <w:jc w:val="center"/>
              <w:rPr>
                <w:rFonts w:ascii="Arial" w:hAnsi="Arial" w:cs="Arial"/>
              </w:rPr>
            </w:pPr>
            <w:r w:rsidRPr="62385CB5">
              <w:rPr>
                <w:rFonts w:ascii="Arial" w:hAnsi="Arial" w:cs="Arial"/>
              </w:rPr>
              <w:t>1</w:t>
            </w:r>
            <w:r w:rsidR="2E25C5C7" w:rsidRPr="62385CB5">
              <w:rPr>
                <w:rFonts w:ascii="Arial" w:hAnsi="Arial" w:cs="Arial"/>
              </w:rPr>
              <w:t>2</w:t>
            </w:r>
            <w:r w:rsidRPr="62385CB5">
              <w:rPr>
                <w:rFonts w:ascii="Arial" w:hAnsi="Arial" w:cs="Arial"/>
              </w:rPr>
              <w:t>.</w:t>
            </w:r>
            <w:r w:rsidR="2E25C5C7" w:rsidRPr="62385CB5">
              <w:rPr>
                <w:rFonts w:ascii="Arial" w:hAnsi="Arial" w:cs="Arial"/>
              </w:rPr>
              <w:t>2</w:t>
            </w:r>
          </w:p>
        </w:tc>
        <w:tc>
          <w:tcPr>
            <w:tcW w:w="162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26C15FE" w14:textId="432C415C" w:rsidR="0058291F" w:rsidRPr="0060756D" w:rsidRDefault="00AF55DE" w:rsidP="0058291F">
            <w:pPr>
              <w:pStyle w:val="NoSpacing"/>
              <w:jc w:val="center"/>
              <w:rPr>
                <w:rFonts w:ascii="Arial" w:hAnsi="Arial" w:cs="Arial"/>
              </w:rPr>
            </w:pPr>
            <w:r w:rsidRPr="62385CB5">
              <w:rPr>
                <w:rFonts w:ascii="Arial" w:hAnsi="Arial" w:cs="Arial"/>
              </w:rPr>
              <w:t>13.</w:t>
            </w:r>
            <w:r w:rsidR="31899689" w:rsidRPr="62385CB5">
              <w:rPr>
                <w:rFonts w:ascii="Arial" w:hAnsi="Arial" w:cs="Arial"/>
              </w:rPr>
              <w:t>8</w:t>
            </w:r>
          </w:p>
        </w:tc>
        <w:tc>
          <w:tcPr>
            <w:tcW w:w="156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7949081" w14:textId="20DAA1A2" w:rsidR="0058291F" w:rsidRPr="0060756D" w:rsidRDefault="00AF55DE" w:rsidP="0058291F">
            <w:pPr>
              <w:pStyle w:val="NoSpacing"/>
              <w:jc w:val="center"/>
              <w:rPr>
                <w:rFonts w:ascii="Arial" w:hAnsi="Arial" w:cs="Arial"/>
              </w:rPr>
            </w:pPr>
            <w:r w:rsidRPr="62385CB5">
              <w:rPr>
                <w:rFonts w:ascii="Arial" w:hAnsi="Arial" w:cs="Arial"/>
              </w:rPr>
              <w:t>1</w:t>
            </w:r>
            <w:r w:rsidR="3DD6B5C2" w:rsidRPr="62385CB5">
              <w:rPr>
                <w:rFonts w:ascii="Arial" w:hAnsi="Arial" w:cs="Arial"/>
              </w:rPr>
              <w:t>3</w:t>
            </w:r>
            <w:r w:rsidRPr="62385CB5">
              <w:rPr>
                <w:rFonts w:ascii="Arial" w:hAnsi="Arial" w:cs="Arial"/>
              </w:rPr>
              <w:t>.</w:t>
            </w:r>
            <w:r w:rsidR="5F943F1C" w:rsidRPr="62385CB5">
              <w:rPr>
                <w:rFonts w:ascii="Arial" w:hAnsi="Arial" w:cs="Arial"/>
              </w:rPr>
              <w:t>3</w:t>
            </w:r>
          </w:p>
        </w:tc>
        <w:tc>
          <w:tcPr>
            <w:tcW w:w="1183" w:type="dxa"/>
            <w:tcBorders>
              <w:top w:val="single" w:sz="4" w:space="0" w:color="auto"/>
              <w:left w:val="single" w:sz="4" w:space="0" w:color="auto"/>
              <w:bottom w:val="single" w:sz="4" w:space="0" w:color="auto"/>
              <w:right w:val="single" w:sz="4" w:space="0" w:color="auto"/>
            </w:tcBorders>
            <w:shd w:val="clear" w:color="auto" w:fill="FFFFFF" w:themeFill="background1"/>
          </w:tcPr>
          <w:p w14:paraId="3E7681B4" w14:textId="3E478798" w:rsidR="0058291F" w:rsidRPr="0060756D" w:rsidRDefault="00AF55DE" w:rsidP="0058291F">
            <w:pPr>
              <w:pStyle w:val="NoSpacing"/>
              <w:jc w:val="center"/>
              <w:rPr>
                <w:rFonts w:ascii="Arial" w:hAnsi="Arial" w:cs="Arial"/>
              </w:rPr>
            </w:pPr>
            <w:r w:rsidRPr="62385CB5">
              <w:rPr>
                <w:rFonts w:ascii="Arial" w:hAnsi="Arial" w:cs="Arial"/>
              </w:rPr>
              <w:t>1</w:t>
            </w:r>
            <w:r w:rsidR="08ECA6F1" w:rsidRPr="62385CB5">
              <w:rPr>
                <w:rFonts w:ascii="Arial" w:hAnsi="Arial" w:cs="Arial"/>
              </w:rPr>
              <w:t>3.6</w:t>
            </w:r>
          </w:p>
        </w:tc>
      </w:tr>
      <w:tr w:rsidR="00BB349C" w14:paraId="248FE06A" w14:textId="77777777" w:rsidTr="78C3123E">
        <w:trPr>
          <w:trHeight w:val="1251"/>
        </w:trPr>
        <w:tc>
          <w:tcPr>
            <w:tcW w:w="2940" w:type="dxa"/>
            <w:tcBorders>
              <w:top w:val="single" w:sz="4" w:space="0" w:color="auto"/>
              <w:left w:val="single" w:sz="4" w:space="0" w:color="auto"/>
              <w:bottom w:val="single" w:sz="4" w:space="0" w:color="auto"/>
              <w:right w:val="single" w:sz="4" w:space="0" w:color="auto"/>
            </w:tcBorders>
            <w:hideMark/>
          </w:tcPr>
          <w:p w14:paraId="2B25E982" w14:textId="77777777" w:rsidR="0058291F" w:rsidRPr="0060756D" w:rsidRDefault="00AF55DE" w:rsidP="0058291F">
            <w:pPr>
              <w:pStyle w:val="NoSpacing"/>
              <w:rPr>
                <w:rFonts w:ascii="Arial" w:hAnsi="Arial" w:cs="Arial"/>
                <w:b/>
              </w:rPr>
            </w:pPr>
            <w:r w:rsidRPr="0060756D">
              <w:rPr>
                <w:rFonts w:ascii="Arial" w:hAnsi="Arial" w:cs="Arial"/>
              </w:rPr>
              <w:t xml:space="preserve">Permanent admissions to residential and nursing care homes </w:t>
            </w:r>
            <w:r w:rsidRPr="0060756D">
              <w:rPr>
                <w:rFonts w:ascii="Arial" w:hAnsi="Arial" w:cs="Arial"/>
              </w:rPr>
              <w:t>per 100,000 population aged 65+ during the year</w:t>
            </w:r>
          </w:p>
        </w:tc>
        <w:tc>
          <w:tcPr>
            <w:tcW w:w="1560" w:type="dxa"/>
            <w:tcBorders>
              <w:top w:val="single" w:sz="4" w:space="0" w:color="auto"/>
              <w:left w:val="single" w:sz="4" w:space="0" w:color="auto"/>
              <w:bottom w:val="single" w:sz="4" w:space="0" w:color="auto"/>
              <w:right w:val="single" w:sz="4" w:space="0" w:color="auto"/>
            </w:tcBorders>
            <w:hideMark/>
          </w:tcPr>
          <w:p w14:paraId="687BF2B8" w14:textId="77777777" w:rsidR="0058291F" w:rsidRPr="0060756D" w:rsidRDefault="00AF55DE" w:rsidP="0058291F">
            <w:pPr>
              <w:pStyle w:val="NoSpacing"/>
              <w:rPr>
                <w:rFonts w:ascii="Arial" w:hAnsi="Arial" w:cs="Arial"/>
                <w:i/>
              </w:rPr>
            </w:pPr>
            <w:r w:rsidRPr="0060756D">
              <w:rPr>
                <w:rFonts w:ascii="Arial" w:hAnsi="Arial" w:cs="Arial"/>
              </w:rPr>
              <w:t>Quarterly</w:t>
            </w:r>
          </w:p>
        </w:tc>
        <w:tc>
          <w:tcPr>
            <w:tcW w:w="1590" w:type="dxa"/>
            <w:tcBorders>
              <w:top w:val="single" w:sz="4" w:space="0" w:color="auto"/>
              <w:left w:val="single" w:sz="4" w:space="0" w:color="auto"/>
              <w:bottom w:val="single" w:sz="4" w:space="0" w:color="auto"/>
              <w:right w:val="single" w:sz="4" w:space="0" w:color="auto"/>
            </w:tcBorders>
          </w:tcPr>
          <w:p w14:paraId="761B7C85" w14:textId="77777777" w:rsidR="0058291F" w:rsidRPr="0060756D" w:rsidRDefault="00AF55DE" w:rsidP="0058291F">
            <w:pPr>
              <w:pStyle w:val="NoSpacing"/>
              <w:rPr>
                <w:rFonts w:ascii="Arial" w:hAnsi="Arial" w:cs="Arial"/>
              </w:rPr>
            </w:pPr>
            <w:r w:rsidRPr="0060756D">
              <w:rPr>
                <w:rFonts w:ascii="Arial" w:hAnsi="Arial" w:cs="Arial"/>
              </w:rPr>
              <w:t>Adults Services and Health and Wellbeing</w:t>
            </w:r>
          </w:p>
        </w:tc>
        <w:tc>
          <w:tcPr>
            <w:tcW w:w="1035" w:type="dxa"/>
            <w:tcBorders>
              <w:top w:val="single" w:sz="4" w:space="0" w:color="auto"/>
              <w:left w:val="single" w:sz="4" w:space="0" w:color="auto"/>
              <w:bottom w:val="single" w:sz="4" w:space="0" w:color="auto"/>
              <w:right w:val="single" w:sz="4" w:space="0" w:color="auto"/>
            </w:tcBorders>
          </w:tcPr>
          <w:p w14:paraId="1784E7F0" w14:textId="77777777" w:rsidR="0058291F" w:rsidRPr="0060756D" w:rsidRDefault="00AF55DE" w:rsidP="0058291F">
            <w:pPr>
              <w:pStyle w:val="NoSpacing"/>
              <w:rPr>
                <w:rFonts w:ascii="Arial" w:hAnsi="Arial" w:cs="Arial"/>
              </w:rPr>
            </w:pPr>
            <w:r w:rsidRPr="0060756D">
              <w:rPr>
                <w:rFonts w:ascii="Arial" w:hAnsi="Arial" w:cs="Arial"/>
              </w:rPr>
              <w:t>Low</w:t>
            </w:r>
          </w:p>
        </w:tc>
        <w:tc>
          <w:tcPr>
            <w:tcW w:w="1232" w:type="dxa"/>
            <w:tcBorders>
              <w:top w:val="single" w:sz="4" w:space="0" w:color="auto"/>
              <w:left w:val="single" w:sz="4" w:space="0" w:color="auto"/>
              <w:bottom w:val="single" w:sz="4" w:space="0" w:color="auto"/>
              <w:right w:val="single" w:sz="4" w:space="0" w:color="auto"/>
            </w:tcBorders>
            <w:shd w:val="clear" w:color="auto" w:fill="FF0000"/>
          </w:tcPr>
          <w:p w14:paraId="2838BB4A" w14:textId="77777777" w:rsidR="0058291F" w:rsidRPr="0060756D" w:rsidRDefault="00AF55DE" w:rsidP="0058291F">
            <w:pPr>
              <w:pStyle w:val="NoSpacing"/>
              <w:jc w:val="center"/>
              <w:rPr>
                <w:rFonts w:ascii="Arial" w:hAnsi="Arial" w:cs="Arial"/>
              </w:rPr>
            </w:pPr>
            <w:r w:rsidRPr="0060756D">
              <w:rPr>
                <w:rFonts w:ascii="Arial" w:hAnsi="Arial" w:cs="Arial"/>
              </w:rPr>
              <w:t>672.6</w:t>
            </w:r>
          </w:p>
        </w:tc>
        <w:tc>
          <w:tcPr>
            <w:tcW w:w="129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375BFCE" w14:textId="076B7EF5" w:rsidR="0058291F" w:rsidRPr="0060756D" w:rsidRDefault="00AF55DE" w:rsidP="0058291F">
            <w:pPr>
              <w:pStyle w:val="NoSpacing"/>
              <w:jc w:val="center"/>
              <w:rPr>
                <w:rFonts w:ascii="Arial" w:hAnsi="Arial" w:cs="Arial"/>
              </w:rPr>
            </w:pPr>
            <w:r w:rsidRPr="62385CB5">
              <w:rPr>
                <w:rFonts w:ascii="Arial" w:hAnsi="Arial" w:cs="Arial"/>
              </w:rPr>
              <w:t>482.2</w:t>
            </w:r>
          </w:p>
        </w:tc>
        <w:tc>
          <w:tcPr>
            <w:tcW w:w="162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74C04F8" w14:textId="5B9AC79B" w:rsidR="0058291F" w:rsidRPr="0060756D" w:rsidRDefault="00AF55DE" w:rsidP="0058291F">
            <w:pPr>
              <w:pStyle w:val="NoSpacing"/>
              <w:jc w:val="center"/>
              <w:rPr>
                <w:rFonts w:ascii="Arial" w:hAnsi="Arial" w:cs="Arial"/>
              </w:rPr>
            </w:pPr>
            <w:r w:rsidRPr="62385CB5">
              <w:rPr>
                <w:rFonts w:ascii="Arial" w:hAnsi="Arial" w:cs="Arial"/>
              </w:rPr>
              <w:t>5</w:t>
            </w:r>
            <w:r w:rsidR="66D18468" w:rsidRPr="62385CB5">
              <w:rPr>
                <w:rFonts w:ascii="Arial" w:hAnsi="Arial" w:cs="Arial"/>
              </w:rPr>
              <w:t>65.6</w:t>
            </w:r>
          </w:p>
        </w:tc>
        <w:tc>
          <w:tcPr>
            <w:tcW w:w="156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A6794B5" w14:textId="1D890752" w:rsidR="0058291F" w:rsidRPr="0060756D" w:rsidRDefault="00AF55DE" w:rsidP="62385CB5">
            <w:pPr>
              <w:pStyle w:val="NoSpacing"/>
              <w:jc w:val="center"/>
              <w:rPr>
                <w:rFonts w:ascii="Arial" w:hAnsi="Arial" w:cs="Arial"/>
              </w:rPr>
            </w:pPr>
            <w:r w:rsidRPr="62385CB5">
              <w:rPr>
                <w:rFonts w:ascii="Arial" w:hAnsi="Arial" w:cs="Arial"/>
              </w:rPr>
              <w:t>589.6</w:t>
            </w:r>
          </w:p>
        </w:tc>
        <w:tc>
          <w:tcPr>
            <w:tcW w:w="1183" w:type="dxa"/>
            <w:tcBorders>
              <w:top w:val="single" w:sz="4" w:space="0" w:color="auto"/>
              <w:left w:val="single" w:sz="4" w:space="0" w:color="auto"/>
              <w:bottom w:val="single" w:sz="4" w:space="0" w:color="auto"/>
              <w:right w:val="single" w:sz="4" w:space="0" w:color="auto"/>
            </w:tcBorders>
            <w:shd w:val="clear" w:color="auto" w:fill="FFFFFF" w:themeFill="background1"/>
          </w:tcPr>
          <w:p w14:paraId="2A0AAEE4" w14:textId="609FED40" w:rsidR="0058291F" w:rsidRPr="0060756D" w:rsidRDefault="00AF55DE" w:rsidP="0058291F">
            <w:pPr>
              <w:pStyle w:val="NoSpacing"/>
              <w:jc w:val="center"/>
              <w:rPr>
                <w:rFonts w:ascii="Arial" w:hAnsi="Arial" w:cs="Arial"/>
              </w:rPr>
            </w:pPr>
            <w:r w:rsidRPr="62385CB5">
              <w:rPr>
                <w:rFonts w:ascii="Arial" w:hAnsi="Arial" w:cs="Arial"/>
              </w:rPr>
              <w:t>520-600</w:t>
            </w:r>
          </w:p>
        </w:tc>
      </w:tr>
    </w:tbl>
    <w:p w14:paraId="3EA10305" w14:textId="77777777" w:rsidR="00F044C2" w:rsidRPr="0060756D" w:rsidRDefault="00F044C2" w:rsidP="00F044C2">
      <w:pPr>
        <w:pStyle w:val="NoSpacing"/>
        <w:jc w:val="both"/>
        <w:rPr>
          <w:rFonts w:ascii="Arial" w:hAnsi="Arial" w:cs="Helvetica-Light"/>
          <w:color w:val="000000"/>
          <w:sz w:val="24"/>
          <w:szCs w:val="24"/>
          <w:lang w:eastAsia="en-GB"/>
        </w:rPr>
      </w:pPr>
    </w:p>
    <w:p w14:paraId="6FA4A914" w14:textId="77777777" w:rsidR="00B6422A" w:rsidRPr="00017A16" w:rsidRDefault="00AF55DE" w:rsidP="00B6422A">
      <w:pPr>
        <w:pStyle w:val="NoSpacing"/>
        <w:jc w:val="both"/>
        <w:rPr>
          <w:rFonts w:ascii="Arial" w:hAnsi="Arial" w:cs="Arial"/>
        </w:rPr>
      </w:pPr>
      <w:r w:rsidRPr="00017A16">
        <w:rPr>
          <w:rFonts w:ascii="Arial" w:hAnsi="Arial" w:cs="Arial"/>
          <w:b/>
          <w:bCs/>
        </w:rPr>
        <w:t xml:space="preserve">Percentage of older people (65 and over) who were still at home 91 days after discharge from hospital into </w:t>
      </w:r>
      <w:r w:rsidRPr="00017A16">
        <w:rPr>
          <w:rFonts w:ascii="Arial" w:hAnsi="Arial" w:cs="Arial"/>
          <w:b/>
          <w:bCs/>
        </w:rPr>
        <w:t>reablement/rehabilitation services</w:t>
      </w:r>
      <w:r w:rsidRPr="00017A16">
        <w:rPr>
          <w:rFonts w:ascii="Arial" w:hAnsi="Arial" w:cs="Arial"/>
        </w:rPr>
        <w:t xml:space="preserve">. The number of older people who are still at home 91 days after discharge is currently at 86.7%, although this is still below the </w:t>
      </w:r>
      <w:r>
        <w:rPr>
          <w:rFonts w:ascii="Arial" w:hAnsi="Arial" w:cs="Arial"/>
        </w:rPr>
        <w:t>council's</w:t>
      </w:r>
      <w:r w:rsidRPr="00017A16">
        <w:rPr>
          <w:rFonts w:ascii="Arial" w:hAnsi="Arial" w:cs="Arial"/>
        </w:rPr>
        <w:t xml:space="preserve"> target, it is still performing above the regional and national average</w:t>
      </w:r>
      <w:r>
        <w:rPr>
          <w:rFonts w:ascii="Arial" w:hAnsi="Arial" w:cs="Arial"/>
        </w:rPr>
        <w:t>s</w:t>
      </w:r>
      <w:r w:rsidRPr="00017A16">
        <w:rPr>
          <w:rFonts w:ascii="Arial" w:hAnsi="Arial" w:cs="Arial"/>
        </w:rPr>
        <w:t>.</w:t>
      </w:r>
    </w:p>
    <w:p w14:paraId="1AF75BC7" w14:textId="77777777" w:rsidR="00B6422A" w:rsidRPr="00017A16" w:rsidRDefault="00AF55DE" w:rsidP="00B6422A">
      <w:pPr>
        <w:pStyle w:val="NoSpacing"/>
        <w:jc w:val="both"/>
        <w:rPr>
          <w:rFonts w:ascii="Arial" w:hAnsi="Arial" w:cs="Arial"/>
        </w:rPr>
      </w:pPr>
      <w:r w:rsidRPr="00017A16">
        <w:rPr>
          <w:rFonts w:ascii="Arial" w:hAnsi="Arial" w:cs="Arial"/>
        </w:rPr>
        <w:t>As a council we have significant working relationships with 5 main hospital trusts spread over 8 sites and those arrangements continued throughout the last year including the hospita</w:t>
      </w:r>
      <w:r w:rsidRPr="00017A16">
        <w:rPr>
          <w:rFonts w:ascii="Arial" w:hAnsi="Arial" w:cs="Arial"/>
        </w:rPr>
        <w:t>l discharge arrangements during the pandemic.  Ease and timeliness of data capture varied between hospitals and there were often considerable time lags between discharges organised by the NHS occurring and the data being shared with the council to enable a</w:t>
      </w:r>
      <w:r w:rsidRPr="00017A16">
        <w:rPr>
          <w:rFonts w:ascii="Arial" w:hAnsi="Arial" w:cs="Arial"/>
        </w:rPr>
        <w:t xml:space="preserve">ssessments to occur. </w:t>
      </w:r>
    </w:p>
    <w:p w14:paraId="1E88B058" w14:textId="77777777" w:rsidR="00B6422A" w:rsidRPr="00E835BD" w:rsidRDefault="00B6422A" w:rsidP="00B6422A">
      <w:pPr>
        <w:pStyle w:val="NoSpacing"/>
        <w:rPr>
          <w:rFonts w:ascii="Arial" w:hAnsi="Arial" w:cs="Arial"/>
          <w:highlight w:val="magenta"/>
        </w:rPr>
      </w:pPr>
    </w:p>
    <w:p w14:paraId="7CE1EBA5" w14:textId="77777777" w:rsidR="00B6422A" w:rsidRPr="00017A16" w:rsidRDefault="00AF55DE" w:rsidP="00B6422A">
      <w:pPr>
        <w:rPr>
          <w:rFonts w:cs="Arial"/>
          <w:sz w:val="22"/>
          <w:szCs w:val="22"/>
        </w:rPr>
      </w:pPr>
      <w:r w:rsidRPr="00017A16">
        <w:rPr>
          <w:rFonts w:cs="Arial"/>
          <w:b/>
          <w:bCs/>
          <w:sz w:val="22"/>
          <w:szCs w:val="22"/>
        </w:rPr>
        <w:t>Proportion of adults with learning disabilities who live in their own home</w:t>
      </w:r>
      <w:r w:rsidRPr="00017A16">
        <w:rPr>
          <w:rFonts w:cs="Arial"/>
        </w:rPr>
        <w:t>.  C</w:t>
      </w:r>
      <w:r w:rsidRPr="00017A16">
        <w:rPr>
          <w:rFonts w:cs="Arial"/>
          <w:sz w:val="22"/>
          <w:szCs w:val="22"/>
        </w:rPr>
        <w:t xml:space="preserve">urrent performance is above the national average of 77.3%, although we are still below our own </w:t>
      </w:r>
      <w:r>
        <w:rPr>
          <w:rFonts w:cs="Arial"/>
          <w:sz w:val="22"/>
          <w:szCs w:val="22"/>
        </w:rPr>
        <w:t>council</w:t>
      </w:r>
      <w:r w:rsidRPr="00017A16">
        <w:rPr>
          <w:rFonts w:cs="Arial"/>
          <w:sz w:val="22"/>
          <w:szCs w:val="22"/>
        </w:rPr>
        <w:t xml:space="preserve"> target, progress is being made in reaching this.  </w:t>
      </w:r>
    </w:p>
    <w:p w14:paraId="021A0451" w14:textId="77777777" w:rsidR="00B6422A" w:rsidRPr="00E835BD" w:rsidRDefault="00B6422A" w:rsidP="00B6422A">
      <w:pPr>
        <w:pStyle w:val="NoSpacing"/>
        <w:rPr>
          <w:rFonts w:ascii="Arial" w:hAnsi="Arial" w:cs="Arial"/>
          <w:highlight w:val="magenta"/>
        </w:rPr>
      </w:pPr>
    </w:p>
    <w:p w14:paraId="3B245624" w14:textId="77777777" w:rsidR="00B6422A" w:rsidRPr="008566CC" w:rsidRDefault="00AF55DE" w:rsidP="00B6422A">
      <w:pPr>
        <w:pStyle w:val="NoSpacing"/>
        <w:jc w:val="both"/>
        <w:rPr>
          <w:rFonts w:ascii="Arial" w:hAnsi="Arial" w:cs="Arial"/>
        </w:rPr>
      </w:pPr>
      <w:r w:rsidRPr="008566CC">
        <w:rPr>
          <w:rFonts w:ascii="Arial" w:hAnsi="Arial" w:cs="Arial"/>
          <w:b/>
          <w:bCs/>
        </w:rPr>
        <w:t>Proportion of adults and older people receiving long term services who are supported in the community</w:t>
      </w:r>
      <w:r w:rsidRPr="008566CC">
        <w:rPr>
          <w:rFonts w:ascii="Arial" w:hAnsi="Arial" w:cs="Arial"/>
        </w:rPr>
        <w:t xml:space="preserve">. The proportion of people receiving long term services supported in the community is just under target at quarter 1. </w:t>
      </w:r>
      <w:r>
        <w:rPr>
          <w:rFonts w:ascii="Arial" w:hAnsi="Arial" w:cs="Arial"/>
        </w:rPr>
        <w:t>For a range of reasons t</w:t>
      </w:r>
      <w:r w:rsidRPr="008566CC">
        <w:rPr>
          <w:rFonts w:ascii="Arial" w:hAnsi="Arial" w:cs="Arial"/>
        </w:rPr>
        <w:t xml:space="preserve">he pandemic </w:t>
      </w:r>
      <w:r w:rsidRPr="008566CC">
        <w:rPr>
          <w:rFonts w:ascii="Arial" w:hAnsi="Arial" w:cs="Arial"/>
        </w:rPr>
        <w:t xml:space="preserve">reduced the number of people admitted to residential care, but as </w:t>
      </w:r>
      <w:r>
        <w:rPr>
          <w:rFonts w:ascii="Arial" w:hAnsi="Arial" w:cs="Arial"/>
        </w:rPr>
        <w:t>the situation has improved in relation to vaccination and infection control)</w:t>
      </w:r>
      <w:r w:rsidRPr="008566CC">
        <w:rPr>
          <w:rFonts w:ascii="Arial" w:hAnsi="Arial" w:cs="Arial"/>
        </w:rPr>
        <w:t xml:space="preserve"> this </w:t>
      </w:r>
      <w:r>
        <w:rPr>
          <w:rFonts w:ascii="Arial" w:hAnsi="Arial" w:cs="Arial"/>
        </w:rPr>
        <w:t xml:space="preserve">is leading to a gradual increase in the numbers leaving their own homes in </w:t>
      </w:r>
      <w:r w:rsidRPr="008566CC">
        <w:rPr>
          <w:rFonts w:ascii="Arial" w:hAnsi="Arial" w:cs="Arial"/>
        </w:rPr>
        <w:t xml:space="preserve"> to </w:t>
      </w:r>
      <w:r>
        <w:rPr>
          <w:rFonts w:ascii="Arial" w:hAnsi="Arial" w:cs="Arial"/>
        </w:rPr>
        <w:t xml:space="preserve">move to </w:t>
      </w:r>
      <w:r w:rsidRPr="008566CC">
        <w:rPr>
          <w:rFonts w:ascii="Arial" w:hAnsi="Arial" w:cs="Arial"/>
        </w:rPr>
        <w:t>a residential setting</w:t>
      </w:r>
      <w:r w:rsidRPr="008566CC">
        <w:rPr>
          <w:rFonts w:ascii="Arial" w:hAnsi="Arial" w:cs="Arial"/>
        </w:rPr>
        <w:t>.</w:t>
      </w:r>
    </w:p>
    <w:p w14:paraId="7C097E31" w14:textId="77777777" w:rsidR="00B6422A" w:rsidRPr="00E835BD" w:rsidRDefault="00B6422A" w:rsidP="00B6422A">
      <w:pPr>
        <w:pStyle w:val="NoSpacing"/>
        <w:rPr>
          <w:rFonts w:ascii="Arial" w:hAnsi="Arial" w:cs="Arial"/>
          <w:highlight w:val="magenta"/>
        </w:rPr>
      </w:pPr>
    </w:p>
    <w:p w14:paraId="133B09DA" w14:textId="77777777" w:rsidR="00B6422A" w:rsidRPr="00FC7264" w:rsidRDefault="00AF55DE" w:rsidP="00B6422A">
      <w:pPr>
        <w:pStyle w:val="NoSpacing"/>
        <w:jc w:val="both"/>
        <w:rPr>
          <w:rFonts w:ascii="Arial" w:hAnsi="Arial" w:cs="Arial"/>
        </w:rPr>
      </w:pPr>
      <w:r w:rsidRPr="00FC7264">
        <w:rPr>
          <w:rFonts w:ascii="Arial" w:hAnsi="Arial" w:cs="Arial"/>
          <w:b/>
          <w:bCs/>
        </w:rPr>
        <w:t>Permanent admissions to residential and nursing care homes per 100,000 population aged 18-64 during the year</w:t>
      </w:r>
      <w:r w:rsidRPr="00FC7264">
        <w:rPr>
          <w:rFonts w:ascii="Arial" w:hAnsi="Arial" w:cs="Arial"/>
        </w:rPr>
        <w:t>.  At 13.3 we are still placed below the planned target of 13.6, and the current England average of 14.6.  This continues to be monitored to unde</w:t>
      </w:r>
      <w:r w:rsidRPr="00FC7264">
        <w:rPr>
          <w:rFonts w:ascii="Arial" w:hAnsi="Arial" w:cs="Arial"/>
        </w:rPr>
        <w:t xml:space="preserve">rstand the impact that the pandemic has on this performance measure. </w:t>
      </w:r>
    </w:p>
    <w:p w14:paraId="5AF5A0F9" w14:textId="77777777" w:rsidR="00B6422A" w:rsidRDefault="00B6422A" w:rsidP="00B6422A">
      <w:pPr>
        <w:pStyle w:val="NoSpacing"/>
        <w:jc w:val="both"/>
        <w:rPr>
          <w:rFonts w:ascii="Arial" w:hAnsi="Arial" w:cs="Arial"/>
          <w:highlight w:val="magenta"/>
        </w:rPr>
      </w:pPr>
    </w:p>
    <w:p w14:paraId="1C2D53D1" w14:textId="77777777" w:rsidR="00B6422A" w:rsidRPr="00C00760" w:rsidRDefault="00AF55DE" w:rsidP="00B6422A">
      <w:pPr>
        <w:pStyle w:val="NoSpacing"/>
        <w:rPr>
          <w:rFonts w:ascii="Arial" w:hAnsi="Arial" w:cs="Arial"/>
        </w:rPr>
      </w:pPr>
      <w:r w:rsidRPr="00C00760">
        <w:rPr>
          <w:rFonts w:ascii="Arial" w:hAnsi="Arial" w:cs="Arial"/>
          <w:b/>
          <w:bCs/>
        </w:rPr>
        <w:t>Permanent admissions to residential and nursing care homes per 100,000 population aged 65+ during the year</w:t>
      </w:r>
      <w:r w:rsidRPr="00C00760">
        <w:rPr>
          <w:rFonts w:ascii="Arial" w:hAnsi="Arial" w:cs="Arial"/>
        </w:rPr>
        <w:t>.  Although there has been a rise since the 2020/21 outturn we are still operating within the new revised target, and in line with the national average of 584.  Due to our on-going improvement programme we ensure that admissions to residential care are for</w:t>
      </w:r>
      <w:r w:rsidRPr="00C00760">
        <w:rPr>
          <w:rFonts w:ascii="Arial" w:hAnsi="Arial" w:cs="Arial"/>
        </w:rPr>
        <w:t xml:space="preserve"> those who absolutely need it. </w:t>
      </w:r>
    </w:p>
    <w:p w14:paraId="11F526DC" w14:textId="77777777" w:rsidR="00B6422A" w:rsidRPr="00C00760" w:rsidRDefault="00B6422A" w:rsidP="00B6422A">
      <w:pPr>
        <w:pStyle w:val="NoSpacing"/>
        <w:rPr>
          <w:rFonts w:ascii="Arial" w:hAnsi="Arial" w:cs="Arial"/>
        </w:rPr>
      </w:pPr>
    </w:p>
    <w:p w14:paraId="39ED805A" w14:textId="357E6C19" w:rsidR="66D18468" w:rsidRDefault="00AF55DE" w:rsidP="00B6422A">
      <w:pPr>
        <w:rPr>
          <w:rFonts w:cs="Arial"/>
          <w:sz w:val="22"/>
          <w:szCs w:val="22"/>
        </w:rPr>
      </w:pPr>
      <w:r w:rsidRPr="009D11AE">
        <w:rPr>
          <w:rFonts w:cs="Arial"/>
          <w:sz w:val="22"/>
          <w:szCs w:val="22"/>
        </w:rPr>
        <w:t>Admissions to residential and nursing homes across all age groups will continue to be monitored, as we quantify the impact that the pandemic has had on admissions, as many families have not been content in considering care/</w:t>
      </w:r>
      <w:r w:rsidRPr="009D11AE">
        <w:rPr>
          <w:rFonts w:cs="Arial"/>
          <w:sz w:val="22"/>
          <w:szCs w:val="22"/>
        </w:rPr>
        <w:t>residential homes for loved ones due to the significant restrictions on family contact.  The increase in our admissions identifies that that more are returning to their residential setting.</w:t>
      </w:r>
    </w:p>
    <w:p w14:paraId="4E05DD03" w14:textId="51FCA570" w:rsidR="0041762F" w:rsidRDefault="0041762F" w:rsidP="00B6422A">
      <w:pPr>
        <w:rPr>
          <w:rFonts w:cs="Arial"/>
          <w:sz w:val="22"/>
          <w:szCs w:val="22"/>
        </w:rPr>
      </w:pPr>
    </w:p>
    <w:p w14:paraId="6463A25C" w14:textId="5D589A1B" w:rsidR="0041762F" w:rsidRDefault="0041762F" w:rsidP="00B6422A">
      <w:pPr>
        <w:rPr>
          <w:rFonts w:cs="Arial"/>
          <w:sz w:val="22"/>
          <w:szCs w:val="22"/>
        </w:rPr>
      </w:pPr>
    </w:p>
    <w:p w14:paraId="2B1CF339" w14:textId="77777777" w:rsidR="0041762F" w:rsidRPr="009D11AE" w:rsidRDefault="0041762F" w:rsidP="00B6422A">
      <w:pPr>
        <w:rPr>
          <w:sz w:val="22"/>
          <w:szCs w:val="22"/>
        </w:rPr>
      </w:pPr>
    </w:p>
    <w:tbl>
      <w:tblPr>
        <w:tblW w:w="13860" w:type="dxa"/>
        <w:tblLayout w:type="fixed"/>
        <w:tblLook w:val="04A0" w:firstRow="1" w:lastRow="0" w:firstColumn="1" w:lastColumn="0" w:noHBand="0" w:noVBand="1"/>
      </w:tblPr>
      <w:tblGrid>
        <w:gridCol w:w="1935"/>
        <w:gridCol w:w="1305"/>
        <w:gridCol w:w="1350"/>
        <w:gridCol w:w="930"/>
        <w:gridCol w:w="1605"/>
        <w:gridCol w:w="1785"/>
        <w:gridCol w:w="1770"/>
        <w:gridCol w:w="1980"/>
        <w:gridCol w:w="1200"/>
      </w:tblGrid>
      <w:tr w:rsidR="00BB349C" w14:paraId="48C7FDDA" w14:textId="77777777" w:rsidTr="78C3123E">
        <w:trPr>
          <w:trHeight w:val="540"/>
        </w:trPr>
        <w:tc>
          <w:tcPr>
            <w:tcW w:w="1935" w:type="dxa"/>
            <w:tcBorders>
              <w:top w:val="single" w:sz="8" w:space="0" w:color="auto"/>
              <w:left w:val="single" w:sz="8" w:space="0" w:color="auto"/>
              <w:bottom w:val="single" w:sz="8" w:space="0" w:color="auto"/>
              <w:right w:val="single" w:sz="8" w:space="0" w:color="auto"/>
            </w:tcBorders>
          </w:tcPr>
          <w:p w14:paraId="5FA0BBC7" w14:textId="2DE6E235" w:rsidR="62385CB5" w:rsidRDefault="00AF55DE" w:rsidP="62385CB5">
            <w:pPr>
              <w:jc w:val="left"/>
            </w:pPr>
            <w:r w:rsidRPr="62385CB5">
              <w:rPr>
                <w:rFonts w:eastAsia="Arial" w:cs="Arial"/>
                <w:b/>
                <w:bCs/>
                <w:color w:val="000000" w:themeColor="text1"/>
                <w:sz w:val="20"/>
                <w:szCs w:val="20"/>
              </w:rPr>
              <w:lastRenderedPageBreak/>
              <w:t>Performance Indicator</w:t>
            </w:r>
            <w:r w:rsidRPr="62385CB5">
              <w:rPr>
                <w:rFonts w:eastAsia="Arial" w:cs="Arial"/>
                <w:color w:val="000000" w:themeColor="text1"/>
                <w:sz w:val="20"/>
                <w:szCs w:val="20"/>
              </w:rPr>
              <w:t xml:space="preserve"> </w:t>
            </w:r>
          </w:p>
        </w:tc>
        <w:tc>
          <w:tcPr>
            <w:tcW w:w="1305" w:type="dxa"/>
            <w:tcBorders>
              <w:top w:val="single" w:sz="8" w:space="0" w:color="auto"/>
              <w:left w:val="single" w:sz="8" w:space="0" w:color="auto"/>
              <w:bottom w:val="single" w:sz="8" w:space="0" w:color="auto"/>
              <w:right w:val="single" w:sz="8" w:space="0" w:color="auto"/>
            </w:tcBorders>
          </w:tcPr>
          <w:p w14:paraId="7E7C63A1" w14:textId="35D1C613" w:rsidR="62385CB5" w:rsidRDefault="00AF55DE" w:rsidP="62385CB5">
            <w:pPr>
              <w:jc w:val="left"/>
            </w:pPr>
            <w:r w:rsidRPr="62385CB5">
              <w:rPr>
                <w:rFonts w:eastAsia="Arial" w:cs="Arial"/>
                <w:b/>
                <w:bCs/>
                <w:color w:val="000000" w:themeColor="text1"/>
                <w:sz w:val="20"/>
                <w:szCs w:val="20"/>
              </w:rPr>
              <w:t>Frequency</w:t>
            </w:r>
            <w:r w:rsidRPr="62385CB5">
              <w:rPr>
                <w:rFonts w:eastAsia="Arial" w:cs="Arial"/>
                <w:color w:val="000000" w:themeColor="text1"/>
                <w:sz w:val="20"/>
                <w:szCs w:val="20"/>
              </w:rPr>
              <w:t xml:space="preserve"> </w:t>
            </w:r>
          </w:p>
        </w:tc>
        <w:tc>
          <w:tcPr>
            <w:tcW w:w="1350" w:type="dxa"/>
            <w:tcBorders>
              <w:top w:val="single" w:sz="8" w:space="0" w:color="auto"/>
              <w:left w:val="single" w:sz="8" w:space="0" w:color="auto"/>
              <w:bottom w:val="single" w:sz="8" w:space="0" w:color="auto"/>
              <w:right w:val="single" w:sz="8" w:space="0" w:color="auto"/>
            </w:tcBorders>
          </w:tcPr>
          <w:p w14:paraId="6FB17701" w14:textId="0A588755" w:rsidR="62385CB5" w:rsidRDefault="00AF55DE" w:rsidP="62385CB5">
            <w:pPr>
              <w:jc w:val="left"/>
            </w:pPr>
            <w:r w:rsidRPr="62385CB5">
              <w:rPr>
                <w:rFonts w:eastAsia="Arial" w:cs="Arial"/>
                <w:b/>
                <w:bCs/>
                <w:color w:val="000000" w:themeColor="text1"/>
                <w:sz w:val="20"/>
                <w:szCs w:val="20"/>
              </w:rPr>
              <w:t xml:space="preserve">Directorate </w:t>
            </w:r>
            <w:r w:rsidRPr="62385CB5">
              <w:rPr>
                <w:rFonts w:eastAsia="Arial" w:cs="Arial"/>
                <w:color w:val="000000" w:themeColor="text1"/>
                <w:sz w:val="20"/>
                <w:szCs w:val="20"/>
              </w:rPr>
              <w:t xml:space="preserve"> </w:t>
            </w:r>
          </w:p>
        </w:tc>
        <w:tc>
          <w:tcPr>
            <w:tcW w:w="930" w:type="dxa"/>
            <w:tcBorders>
              <w:top w:val="single" w:sz="8" w:space="0" w:color="auto"/>
              <w:left w:val="single" w:sz="8" w:space="0" w:color="auto"/>
              <w:bottom w:val="single" w:sz="8" w:space="0" w:color="auto"/>
              <w:right w:val="single" w:sz="8" w:space="0" w:color="auto"/>
            </w:tcBorders>
          </w:tcPr>
          <w:p w14:paraId="00659DCC" w14:textId="687AD708" w:rsidR="62385CB5" w:rsidRDefault="00AF55DE" w:rsidP="62385CB5">
            <w:pPr>
              <w:jc w:val="left"/>
            </w:pPr>
            <w:r w:rsidRPr="62385CB5">
              <w:rPr>
                <w:rFonts w:eastAsia="Arial" w:cs="Arial"/>
                <w:b/>
                <w:bCs/>
                <w:color w:val="000000" w:themeColor="text1"/>
                <w:sz w:val="20"/>
                <w:szCs w:val="20"/>
              </w:rPr>
              <w:t>Good is</w:t>
            </w:r>
            <w:r w:rsidRPr="62385CB5">
              <w:rPr>
                <w:rFonts w:eastAsia="Arial" w:cs="Arial"/>
                <w:color w:val="000000" w:themeColor="text1"/>
                <w:sz w:val="20"/>
                <w:szCs w:val="20"/>
              </w:rPr>
              <w:t xml:space="preserve"> </w:t>
            </w:r>
          </w:p>
        </w:tc>
        <w:tc>
          <w:tcPr>
            <w:tcW w:w="1605" w:type="dxa"/>
            <w:tcBorders>
              <w:top w:val="single" w:sz="8" w:space="0" w:color="auto"/>
              <w:left w:val="single" w:sz="8" w:space="0" w:color="auto"/>
              <w:bottom w:val="single" w:sz="8" w:space="0" w:color="auto"/>
              <w:right w:val="single" w:sz="8" w:space="0" w:color="auto"/>
            </w:tcBorders>
          </w:tcPr>
          <w:p w14:paraId="3CD6A1ED" w14:textId="047251F0" w:rsidR="62385CB5" w:rsidRDefault="00AF55DE" w:rsidP="62385CB5">
            <w:pPr>
              <w:jc w:val="left"/>
            </w:pPr>
            <w:r w:rsidRPr="62385CB5">
              <w:rPr>
                <w:rFonts w:eastAsia="Arial" w:cs="Arial"/>
                <w:b/>
                <w:bCs/>
                <w:color w:val="000000" w:themeColor="text1"/>
                <w:sz w:val="20"/>
                <w:szCs w:val="20"/>
              </w:rPr>
              <w:t>2019/2</w:t>
            </w:r>
            <w:r w:rsidRPr="62385CB5">
              <w:rPr>
                <w:rFonts w:eastAsia="Arial" w:cs="Arial"/>
                <w:b/>
                <w:bCs/>
                <w:color w:val="000000" w:themeColor="text1"/>
                <w:sz w:val="20"/>
                <w:szCs w:val="20"/>
              </w:rPr>
              <w:t>0 Outturn</w:t>
            </w:r>
          </w:p>
        </w:tc>
        <w:tc>
          <w:tcPr>
            <w:tcW w:w="1785" w:type="dxa"/>
            <w:tcBorders>
              <w:top w:val="single" w:sz="8" w:space="0" w:color="auto"/>
              <w:left w:val="single" w:sz="8" w:space="0" w:color="auto"/>
              <w:bottom w:val="single" w:sz="8" w:space="0" w:color="auto"/>
              <w:right w:val="single" w:sz="8" w:space="0" w:color="auto"/>
            </w:tcBorders>
          </w:tcPr>
          <w:p w14:paraId="1398F40F" w14:textId="3666D117" w:rsidR="62385CB5" w:rsidRDefault="00AF55DE" w:rsidP="62385CB5">
            <w:pPr>
              <w:jc w:val="left"/>
            </w:pPr>
            <w:r w:rsidRPr="62385CB5">
              <w:rPr>
                <w:rFonts w:eastAsia="Arial" w:cs="Arial"/>
                <w:b/>
                <w:bCs/>
                <w:color w:val="000000" w:themeColor="text1"/>
                <w:sz w:val="20"/>
                <w:szCs w:val="20"/>
              </w:rPr>
              <w:t>2020/21 Outturn</w:t>
            </w:r>
          </w:p>
        </w:tc>
        <w:tc>
          <w:tcPr>
            <w:tcW w:w="1770" w:type="dxa"/>
            <w:tcBorders>
              <w:top w:val="single" w:sz="8" w:space="0" w:color="auto"/>
              <w:left w:val="single" w:sz="8" w:space="0" w:color="auto"/>
              <w:bottom w:val="single" w:sz="8" w:space="0" w:color="auto"/>
              <w:right w:val="single" w:sz="8" w:space="0" w:color="auto"/>
            </w:tcBorders>
          </w:tcPr>
          <w:p w14:paraId="07B56B5B" w14:textId="59678776" w:rsidR="62385CB5" w:rsidRDefault="00AF55DE" w:rsidP="78C3123E">
            <w:pPr>
              <w:rPr>
                <w:rFonts w:eastAsia="Arial" w:cs="Arial"/>
                <w:b/>
                <w:bCs/>
                <w:color w:val="808080" w:themeColor="background1" w:themeShade="80"/>
                <w:sz w:val="18"/>
                <w:szCs w:val="18"/>
              </w:rPr>
            </w:pPr>
            <w:r w:rsidRPr="78C3123E">
              <w:rPr>
                <w:rFonts w:eastAsia="Arial" w:cs="Arial"/>
                <w:b/>
                <w:bCs/>
                <w:color w:val="auto"/>
                <w:sz w:val="20"/>
                <w:szCs w:val="20"/>
              </w:rPr>
              <w:t xml:space="preserve">2020/21 Quarter 1 </w:t>
            </w:r>
            <w:r w:rsidRPr="78C3123E">
              <w:rPr>
                <w:rFonts w:eastAsia="Arial" w:cs="Arial"/>
                <w:b/>
                <w:bCs/>
                <w:color w:val="auto"/>
                <w:sz w:val="18"/>
                <w:szCs w:val="18"/>
              </w:rPr>
              <w:t>(April –June)</w:t>
            </w:r>
          </w:p>
        </w:tc>
        <w:tc>
          <w:tcPr>
            <w:tcW w:w="1980" w:type="dxa"/>
            <w:tcBorders>
              <w:top w:val="single" w:sz="8" w:space="0" w:color="auto"/>
              <w:left w:val="single" w:sz="8" w:space="0" w:color="auto"/>
              <w:bottom w:val="single" w:sz="8" w:space="0" w:color="auto"/>
              <w:right w:val="single" w:sz="8" w:space="0" w:color="auto"/>
            </w:tcBorders>
          </w:tcPr>
          <w:p w14:paraId="250EBA7C" w14:textId="7AB34FC2" w:rsidR="62385CB5" w:rsidRDefault="00AF55DE">
            <w:r w:rsidRPr="62385CB5">
              <w:rPr>
                <w:rFonts w:eastAsia="Arial" w:cs="Arial"/>
                <w:b/>
                <w:bCs/>
                <w:sz w:val="20"/>
                <w:szCs w:val="20"/>
              </w:rPr>
              <w:t xml:space="preserve">2021/22 Quarter 1 </w:t>
            </w:r>
            <w:r w:rsidRPr="62385CB5">
              <w:rPr>
                <w:rFonts w:eastAsia="Arial" w:cs="Arial"/>
                <w:b/>
                <w:bCs/>
                <w:sz w:val="18"/>
                <w:szCs w:val="18"/>
              </w:rPr>
              <w:t>(April –June)</w:t>
            </w:r>
          </w:p>
        </w:tc>
        <w:tc>
          <w:tcPr>
            <w:tcW w:w="1200" w:type="dxa"/>
            <w:tcBorders>
              <w:top w:val="single" w:sz="8" w:space="0" w:color="auto"/>
              <w:left w:val="single" w:sz="8" w:space="0" w:color="auto"/>
              <w:bottom w:val="single" w:sz="8" w:space="0" w:color="auto"/>
              <w:right w:val="single" w:sz="8" w:space="0" w:color="auto"/>
            </w:tcBorders>
          </w:tcPr>
          <w:p w14:paraId="7B33AB52" w14:textId="5B8925EE" w:rsidR="62385CB5" w:rsidRDefault="00AF55DE" w:rsidP="62385CB5">
            <w:pPr>
              <w:jc w:val="left"/>
              <w:rPr>
                <w:rFonts w:eastAsia="Arial" w:cs="Arial"/>
                <w:b/>
                <w:bCs/>
                <w:color w:val="000000" w:themeColor="text1"/>
                <w:sz w:val="22"/>
                <w:szCs w:val="22"/>
              </w:rPr>
            </w:pPr>
            <w:r w:rsidRPr="62385CB5">
              <w:rPr>
                <w:rFonts w:eastAsia="Arial" w:cs="Arial"/>
                <w:b/>
                <w:bCs/>
                <w:color w:val="000000" w:themeColor="text1"/>
                <w:sz w:val="22"/>
                <w:szCs w:val="22"/>
              </w:rPr>
              <w:t>202</w:t>
            </w:r>
            <w:r w:rsidR="4EDF59D1" w:rsidRPr="62385CB5">
              <w:rPr>
                <w:rFonts w:eastAsia="Arial" w:cs="Arial"/>
                <w:b/>
                <w:bCs/>
                <w:color w:val="000000" w:themeColor="text1"/>
                <w:sz w:val="22"/>
                <w:szCs w:val="22"/>
              </w:rPr>
              <w:t>0</w:t>
            </w:r>
            <w:r w:rsidRPr="62385CB5">
              <w:rPr>
                <w:rFonts w:eastAsia="Arial" w:cs="Arial"/>
                <w:b/>
                <w:bCs/>
                <w:color w:val="000000" w:themeColor="text1"/>
                <w:sz w:val="22"/>
                <w:szCs w:val="22"/>
              </w:rPr>
              <w:t>/21 Target</w:t>
            </w:r>
          </w:p>
        </w:tc>
      </w:tr>
      <w:tr w:rsidR="00BB349C" w14:paraId="5C0077DA" w14:textId="77777777" w:rsidTr="78C3123E">
        <w:trPr>
          <w:trHeight w:val="840"/>
        </w:trPr>
        <w:tc>
          <w:tcPr>
            <w:tcW w:w="1935" w:type="dxa"/>
            <w:tcBorders>
              <w:top w:val="single" w:sz="8" w:space="0" w:color="auto"/>
              <w:left w:val="single" w:sz="8" w:space="0" w:color="auto"/>
              <w:bottom w:val="single" w:sz="8" w:space="0" w:color="auto"/>
              <w:right w:val="single" w:sz="8" w:space="0" w:color="auto"/>
            </w:tcBorders>
          </w:tcPr>
          <w:p w14:paraId="757A732E" w14:textId="245D828D" w:rsidR="62385CB5" w:rsidRDefault="00AF55DE" w:rsidP="62385CB5">
            <w:pPr>
              <w:jc w:val="left"/>
            </w:pPr>
            <w:r w:rsidRPr="62385CB5">
              <w:rPr>
                <w:rFonts w:eastAsia="Arial" w:cs="Arial"/>
                <w:color w:val="000000" w:themeColor="text1"/>
                <w:sz w:val="22"/>
                <w:szCs w:val="22"/>
              </w:rPr>
              <w:t xml:space="preserve">Number of working days per full time equivalent lost to sickness absence </w:t>
            </w:r>
          </w:p>
          <w:p w14:paraId="40E6762E" w14:textId="62A5EACE" w:rsidR="62385CB5" w:rsidRDefault="00AF55DE" w:rsidP="62385CB5">
            <w:pPr>
              <w:jc w:val="left"/>
            </w:pPr>
            <w:r w:rsidRPr="62385CB5">
              <w:rPr>
                <w:rFonts w:eastAsia="Arial" w:cs="Arial"/>
                <w:color w:val="000000" w:themeColor="text1"/>
                <w:sz w:val="22"/>
                <w:szCs w:val="22"/>
              </w:rPr>
              <w:t xml:space="preserve"> </w:t>
            </w:r>
          </w:p>
        </w:tc>
        <w:tc>
          <w:tcPr>
            <w:tcW w:w="1305" w:type="dxa"/>
            <w:tcBorders>
              <w:top w:val="single" w:sz="8" w:space="0" w:color="auto"/>
              <w:left w:val="single" w:sz="8" w:space="0" w:color="auto"/>
              <w:bottom w:val="single" w:sz="8" w:space="0" w:color="auto"/>
              <w:right w:val="single" w:sz="8" w:space="0" w:color="auto"/>
            </w:tcBorders>
          </w:tcPr>
          <w:p w14:paraId="54F5CB70" w14:textId="69CBE84B" w:rsidR="62385CB5" w:rsidRDefault="00AF55DE" w:rsidP="62385CB5">
            <w:pPr>
              <w:jc w:val="left"/>
            </w:pPr>
            <w:r w:rsidRPr="62385CB5">
              <w:rPr>
                <w:rFonts w:eastAsia="Arial" w:cs="Arial"/>
                <w:color w:val="000000" w:themeColor="text1"/>
                <w:sz w:val="22"/>
                <w:szCs w:val="22"/>
              </w:rPr>
              <w:t xml:space="preserve">Quarterly </w:t>
            </w:r>
          </w:p>
        </w:tc>
        <w:tc>
          <w:tcPr>
            <w:tcW w:w="1350" w:type="dxa"/>
            <w:tcBorders>
              <w:top w:val="single" w:sz="8" w:space="0" w:color="auto"/>
              <w:left w:val="single" w:sz="8" w:space="0" w:color="auto"/>
              <w:bottom w:val="single" w:sz="8" w:space="0" w:color="auto"/>
              <w:right w:val="single" w:sz="8" w:space="0" w:color="auto"/>
            </w:tcBorders>
          </w:tcPr>
          <w:p w14:paraId="1A47712C" w14:textId="6A5B8F6F" w:rsidR="62385CB5" w:rsidRDefault="00AF55DE" w:rsidP="62385CB5">
            <w:pPr>
              <w:jc w:val="left"/>
            </w:pPr>
            <w:r w:rsidRPr="62385CB5">
              <w:rPr>
                <w:rFonts w:eastAsia="Arial" w:cs="Arial"/>
                <w:color w:val="000000" w:themeColor="text1"/>
                <w:sz w:val="22"/>
                <w:szCs w:val="22"/>
              </w:rPr>
              <w:t xml:space="preserve">Chief Executive and Director of Resources </w:t>
            </w:r>
          </w:p>
        </w:tc>
        <w:tc>
          <w:tcPr>
            <w:tcW w:w="930" w:type="dxa"/>
            <w:tcBorders>
              <w:top w:val="single" w:sz="8" w:space="0" w:color="auto"/>
              <w:left w:val="single" w:sz="8" w:space="0" w:color="auto"/>
              <w:bottom w:val="single" w:sz="8" w:space="0" w:color="auto"/>
              <w:right w:val="single" w:sz="8" w:space="0" w:color="auto"/>
            </w:tcBorders>
          </w:tcPr>
          <w:p w14:paraId="4DDAC570" w14:textId="44A2B056" w:rsidR="62385CB5" w:rsidRDefault="00AF55DE" w:rsidP="62385CB5">
            <w:pPr>
              <w:jc w:val="left"/>
            </w:pPr>
            <w:r w:rsidRPr="62385CB5">
              <w:rPr>
                <w:rFonts w:eastAsia="Arial" w:cs="Arial"/>
                <w:color w:val="000000" w:themeColor="text1"/>
                <w:sz w:val="22"/>
                <w:szCs w:val="22"/>
              </w:rPr>
              <w:t xml:space="preserve">Low </w:t>
            </w:r>
          </w:p>
        </w:tc>
        <w:tc>
          <w:tcPr>
            <w:tcW w:w="1605" w:type="dxa"/>
            <w:tcBorders>
              <w:top w:val="single" w:sz="8" w:space="0" w:color="auto"/>
              <w:left w:val="single" w:sz="8" w:space="0" w:color="auto"/>
              <w:bottom w:val="single" w:sz="8" w:space="0" w:color="auto"/>
              <w:right w:val="single" w:sz="8" w:space="0" w:color="auto"/>
            </w:tcBorders>
            <w:shd w:val="clear" w:color="auto" w:fill="FF0000"/>
          </w:tcPr>
          <w:p w14:paraId="6742668E" w14:textId="37822B2B" w:rsidR="62385CB5" w:rsidRPr="009D11AE" w:rsidRDefault="00AF55DE" w:rsidP="62385CB5">
            <w:pPr>
              <w:jc w:val="center"/>
              <w:rPr>
                <w:color w:val="FFFFFF" w:themeColor="background1"/>
              </w:rPr>
            </w:pPr>
            <w:r w:rsidRPr="009D11AE">
              <w:rPr>
                <w:rFonts w:eastAsia="Arial" w:cs="Arial"/>
                <w:color w:val="FFFFFF" w:themeColor="background1"/>
                <w:sz w:val="22"/>
                <w:szCs w:val="22"/>
              </w:rPr>
              <w:t xml:space="preserve">Apr 2019 to March 2019 </w:t>
            </w:r>
          </w:p>
          <w:p w14:paraId="253BDF85" w14:textId="440145AC" w:rsidR="62385CB5" w:rsidRDefault="00AF55DE" w:rsidP="62385CB5">
            <w:pPr>
              <w:jc w:val="center"/>
            </w:pPr>
            <w:r w:rsidRPr="009D11AE">
              <w:rPr>
                <w:rFonts w:eastAsia="Arial" w:cs="Arial"/>
                <w:color w:val="FFFFFF" w:themeColor="background1"/>
                <w:sz w:val="22"/>
                <w:szCs w:val="22"/>
              </w:rPr>
              <w:t xml:space="preserve">12.39 days per FTE </w:t>
            </w:r>
          </w:p>
        </w:tc>
        <w:tc>
          <w:tcPr>
            <w:tcW w:w="1785"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184580BD" w14:textId="1A1DC3EB" w:rsidR="62385CB5" w:rsidRDefault="00AF55DE" w:rsidP="62385CB5">
            <w:pPr>
              <w:jc w:val="center"/>
            </w:pPr>
            <w:r w:rsidRPr="62385CB5">
              <w:rPr>
                <w:rFonts w:eastAsia="Arial" w:cs="Arial"/>
                <w:color w:val="000000" w:themeColor="text1"/>
                <w:sz w:val="22"/>
                <w:szCs w:val="22"/>
              </w:rPr>
              <w:t xml:space="preserve">Apr 2020 to March 2021 </w:t>
            </w:r>
          </w:p>
          <w:p w14:paraId="70DFE903" w14:textId="2181EFF9" w:rsidR="62385CB5" w:rsidRDefault="00AF55DE" w:rsidP="62385CB5">
            <w:pPr>
              <w:jc w:val="center"/>
            </w:pPr>
            <w:r w:rsidRPr="62385CB5">
              <w:rPr>
                <w:rFonts w:eastAsia="Arial" w:cs="Arial"/>
                <w:color w:val="000000" w:themeColor="text1"/>
                <w:sz w:val="22"/>
                <w:szCs w:val="22"/>
              </w:rPr>
              <w:t xml:space="preserve">10.76 days per FTE  </w:t>
            </w:r>
          </w:p>
        </w:tc>
        <w:tc>
          <w:tcPr>
            <w:tcW w:w="1770" w:type="dxa"/>
            <w:tcBorders>
              <w:top w:val="single" w:sz="8" w:space="0" w:color="auto"/>
              <w:left w:val="single" w:sz="8" w:space="0" w:color="auto"/>
              <w:bottom w:val="single" w:sz="8" w:space="0" w:color="auto"/>
              <w:right w:val="single" w:sz="8" w:space="0" w:color="auto"/>
            </w:tcBorders>
            <w:shd w:val="clear" w:color="auto" w:fill="FF0000"/>
          </w:tcPr>
          <w:p w14:paraId="3B8E7E6F" w14:textId="073AAA69" w:rsidR="62385CB5" w:rsidRPr="009D11AE" w:rsidRDefault="00AF55DE" w:rsidP="62385CB5">
            <w:pPr>
              <w:jc w:val="center"/>
              <w:rPr>
                <w:color w:val="FFFFFF" w:themeColor="background1"/>
              </w:rPr>
            </w:pPr>
            <w:r w:rsidRPr="009D11AE">
              <w:rPr>
                <w:rFonts w:eastAsia="Arial" w:cs="Arial"/>
                <w:color w:val="FFFFFF" w:themeColor="background1"/>
                <w:sz w:val="22"/>
                <w:szCs w:val="22"/>
              </w:rPr>
              <w:t xml:space="preserve">July 2019 to June 2020 </w:t>
            </w:r>
          </w:p>
          <w:p w14:paraId="26E1E357" w14:textId="76ADAD04" w:rsidR="62385CB5" w:rsidRPr="009D11AE" w:rsidRDefault="00AF55DE" w:rsidP="62385CB5">
            <w:pPr>
              <w:jc w:val="center"/>
              <w:rPr>
                <w:color w:val="FFFFFF" w:themeColor="background1"/>
              </w:rPr>
            </w:pPr>
            <w:r w:rsidRPr="009D11AE">
              <w:rPr>
                <w:rFonts w:eastAsia="Arial" w:cs="Arial"/>
                <w:color w:val="FFFFFF" w:themeColor="background1"/>
                <w:sz w:val="22"/>
                <w:szCs w:val="22"/>
              </w:rPr>
              <w:t xml:space="preserve">12.21 days per FTE </w:t>
            </w:r>
          </w:p>
          <w:p w14:paraId="0A9EC319" w14:textId="638D43A3" w:rsidR="62385CB5" w:rsidRDefault="00AF55DE" w:rsidP="62385CB5">
            <w:pPr>
              <w:jc w:val="center"/>
            </w:pPr>
            <w:r w:rsidRPr="62385CB5">
              <w:rPr>
                <w:rFonts w:ascii="Calibri" w:hAnsi="Calibri" w:cs="Calibri"/>
                <w:color w:val="000000" w:themeColor="text1"/>
                <w:sz w:val="22"/>
                <w:szCs w:val="22"/>
              </w:rPr>
              <w:t xml:space="preserve"> </w:t>
            </w:r>
          </w:p>
          <w:p w14:paraId="5ABB3E04" w14:textId="149A1D02" w:rsidR="62385CB5" w:rsidRDefault="00AF55DE" w:rsidP="62385CB5">
            <w:pPr>
              <w:jc w:val="center"/>
            </w:pPr>
            <w:r w:rsidRPr="62385CB5">
              <w:rPr>
                <w:rFonts w:eastAsia="Arial" w:cs="Arial"/>
                <w:color w:val="000000" w:themeColor="text1"/>
                <w:sz w:val="22"/>
                <w:szCs w:val="22"/>
              </w:rPr>
              <w:t xml:space="preserve"> </w:t>
            </w:r>
          </w:p>
        </w:tc>
        <w:tc>
          <w:tcPr>
            <w:tcW w:w="198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6867D949" w14:textId="3E0C81B6" w:rsidR="62385CB5" w:rsidRDefault="00AF55DE" w:rsidP="62385CB5">
            <w:pPr>
              <w:jc w:val="center"/>
            </w:pPr>
            <w:r w:rsidRPr="62385CB5">
              <w:rPr>
                <w:rFonts w:eastAsia="Arial" w:cs="Arial"/>
                <w:color w:val="000000" w:themeColor="text1"/>
                <w:sz w:val="22"/>
                <w:szCs w:val="22"/>
              </w:rPr>
              <w:t>July 20</w:t>
            </w:r>
            <w:r w:rsidR="316ED95D" w:rsidRPr="62385CB5">
              <w:rPr>
                <w:rFonts w:eastAsia="Arial" w:cs="Arial"/>
                <w:color w:val="000000" w:themeColor="text1"/>
                <w:sz w:val="22"/>
                <w:szCs w:val="22"/>
              </w:rPr>
              <w:t>20</w:t>
            </w:r>
            <w:r w:rsidRPr="62385CB5">
              <w:rPr>
                <w:rFonts w:eastAsia="Arial" w:cs="Arial"/>
                <w:color w:val="000000" w:themeColor="text1"/>
                <w:sz w:val="22"/>
                <w:szCs w:val="22"/>
              </w:rPr>
              <w:t xml:space="preserve"> to June 202</w:t>
            </w:r>
            <w:r w:rsidR="6EC55476" w:rsidRPr="62385CB5">
              <w:rPr>
                <w:rFonts w:eastAsia="Arial" w:cs="Arial"/>
                <w:color w:val="000000" w:themeColor="text1"/>
                <w:sz w:val="22"/>
                <w:szCs w:val="22"/>
              </w:rPr>
              <w:t>1</w:t>
            </w:r>
            <w:r w:rsidRPr="62385CB5">
              <w:rPr>
                <w:rFonts w:eastAsia="Arial" w:cs="Arial"/>
                <w:color w:val="000000" w:themeColor="text1"/>
                <w:sz w:val="22"/>
                <w:szCs w:val="22"/>
              </w:rPr>
              <w:t xml:space="preserve"> </w:t>
            </w:r>
          </w:p>
          <w:p w14:paraId="48EAD9FC" w14:textId="42663048" w:rsidR="62385CB5" w:rsidRDefault="00AF55DE" w:rsidP="62385CB5">
            <w:pPr>
              <w:jc w:val="center"/>
            </w:pPr>
            <w:r w:rsidRPr="62385CB5">
              <w:rPr>
                <w:rFonts w:eastAsia="Arial" w:cs="Arial"/>
                <w:color w:val="000000" w:themeColor="text1"/>
                <w:sz w:val="22"/>
                <w:szCs w:val="22"/>
              </w:rPr>
              <w:t xml:space="preserve">10.98 days per FTE </w:t>
            </w:r>
          </w:p>
          <w:p w14:paraId="33B9E3C9" w14:textId="0CD45C0F" w:rsidR="62385CB5" w:rsidRDefault="00AF55DE" w:rsidP="62385CB5">
            <w:pPr>
              <w:jc w:val="center"/>
            </w:pPr>
            <w:r w:rsidRPr="62385CB5">
              <w:rPr>
                <w:rFonts w:ascii="Segoe UI" w:eastAsia="Segoe UI" w:hAnsi="Segoe UI" w:cs="Segoe UI"/>
                <w:color w:val="000000" w:themeColor="text1"/>
                <w:sz w:val="18"/>
                <w:szCs w:val="18"/>
              </w:rPr>
              <w:t xml:space="preserve"> </w:t>
            </w:r>
          </w:p>
        </w:tc>
        <w:tc>
          <w:tcPr>
            <w:tcW w:w="1200" w:type="dxa"/>
            <w:tcBorders>
              <w:top w:val="single" w:sz="8" w:space="0" w:color="auto"/>
              <w:left w:val="single" w:sz="8" w:space="0" w:color="auto"/>
              <w:bottom w:val="single" w:sz="8" w:space="0" w:color="auto"/>
              <w:right w:val="single" w:sz="8" w:space="0" w:color="auto"/>
            </w:tcBorders>
            <w:shd w:val="clear" w:color="auto" w:fill="FFFFFF" w:themeFill="background1"/>
          </w:tcPr>
          <w:p w14:paraId="7A2772A1" w14:textId="05A01343" w:rsidR="62385CB5" w:rsidRDefault="00AF55DE" w:rsidP="62385CB5">
            <w:pPr>
              <w:jc w:val="center"/>
            </w:pPr>
            <w:r w:rsidRPr="62385CB5">
              <w:rPr>
                <w:rFonts w:eastAsia="Arial" w:cs="Arial"/>
                <w:color w:val="000000" w:themeColor="text1"/>
                <w:sz w:val="22"/>
                <w:szCs w:val="22"/>
              </w:rPr>
              <w:t xml:space="preserve">9.83 days per FTE </w:t>
            </w:r>
            <w:r w:rsidRPr="62385CB5">
              <w:rPr>
                <w:rFonts w:ascii="Calibri" w:hAnsi="Calibri" w:cs="Calibri"/>
                <w:color w:val="000000" w:themeColor="text1"/>
                <w:sz w:val="22"/>
                <w:szCs w:val="22"/>
              </w:rPr>
              <w:t xml:space="preserve"> </w:t>
            </w:r>
          </w:p>
        </w:tc>
      </w:tr>
      <w:tr w:rsidR="00BB349C" w14:paraId="2AB9E87D" w14:textId="77777777" w:rsidTr="002220AE">
        <w:trPr>
          <w:trHeight w:val="1495"/>
        </w:trPr>
        <w:tc>
          <w:tcPr>
            <w:tcW w:w="1935" w:type="dxa"/>
            <w:tcBorders>
              <w:top w:val="single" w:sz="8" w:space="0" w:color="auto"/>
              <w:left w:val="single" w:sz="8" w:space="0" w:color="auto"/>
              <w:bottom w:val="single" w:sz="8" w:space="0" w:color="auto"/>
              <w:right w:val="single" w:sz="8" w:space="0" w:color="auto"/>
            </w:tcBorders>
          </w:tcPr>
          <w:p w14:paraId="32096CF8" w14:textId="19AC8AD0" w:rsidR="62385CB5" w:rsidRDefault="00AF55DE" w:rsidP="62385CB5">
            <w:pPr>
              <w:jc w:val="left"/>
            </w:pPr>
            <w:r w:rsidRPr="62385CB5">
              <w:rPr>
                <w:rFonts w:eastAsia="Arial" w:cs="Arial"/>
                <w:color w:val="000000" w:themeColor="text1"/>
                <w:sz w:val="22"/>
                <w:szCs w:val="22"/>
              </w:rPr>
              <w:t xml:space="preserve">Revenue forecast outturn % variance to budget </w:t>
            </w:r>
          </w:p>
          <w:p w14:paraId="13FAF7DC" w14:textId="779EADFF" w:rsidR="62385CB5" w:rsidRDefault="62385CB5" w:rsidP="62385CB5">
            <w:pPr>
              <w:jc w:val="left"/>
            </w:pPr>
          </w:p>
        </w:tc>
        <w:tc>
          <w:tcPr>
            <w:tcW w:w="1305" w:type="dxa"/>
            <w:tcBorders>
              <w:top w:val="single" w:sz="8" w:space="0" w:color="auto"/>
              <w:left w:val="single" w:sz="8" w:space="0" w:color="auto"/>
              <w:bottom w:val="single" w:sz="8" w:space="0" w:color="auto"/>
              <w:right w:val="single" w:sz="8" w:space="0" w:color="auto"/>
            </w:tcBorders>
          </w:tcPr>
          <w:p w14:paraId="14F07257" w14:textId="04199D73" w:rsidR="62385CB5" w:rsidRDefault="00AF55DE" w:rsidP="62385CB5">
            <w:pPr>
              <w:jc w:val="left"/>
            </w:pPr>
            <w:r w:rsidRPr="62385CB5">
              <w:rPr>
                <w:rFonts w:eastAsia="Arial" w:cs="Arial"/>
                <w:color w:val="000000" w:themeColor="text1"/>
                <w:sz w:val="22"/>
                <w:szCs w:val="22"/>
              </w:rPr>
              <w:t xml:space="preserve">Quarterly </w:t>
            </w:r>
          </w:p>
        </w:tc>
        <w:tc>
          <w:tcPr>
            <w:tcW w:w="1350" w:type="dxa"/>
            <w:tcBorders>
              <w:top w:val="single" w:sz="8" w:space="0" w:color="auto"/>
              <w:left w:val="single" w:sz="8" w:space="0" w:color="auto"/>
              <w:bottom w:val="single" w:sz="8" w:space="0" w:color="auto"/>
              <w:right w:val="single" w:sz="8" w:space="0" w:color="auto"/>
            </w:tcBorders>
          </w:tcPr>
          <w:p w14:paraId="7356FF82" w14:textId="27BD837F" w:rsidR="62385CB5" w:rsidRDefault="00AF55DE" w:rsidP="62385CB5">
            <w:pPr>
              <w:jc w:val="left"/>
            </w:pPr>
            <w:r w:rsidRPr="62385CB5">
              <w:rPr>
                <w:rFonts w:eastAsia="Arial" w:cs="Arial"/>
                <w:color w:val="000000" w:themeColor="text1"/>
                <w:sz w:val="22"/>
                <w:szCs w:val="22"/>
              </w:rPr>
              <w:t xml:space="preserve">Chief Executive and Director of Resources </w:t>
            </w:r>
          </w:p>
        </w:tc>
        <w:tc>
          <w:tcPr>
            <w:tcW w:w="930" w:type="dxa"/>
            <w:tcBorders>
              <w:top w:val="single" w:sz="8" w:space="0" w:color="auto"/>
              <w:left w:val="single" w:sz="8" w:space="0" w:color="auto"/>
              <w:bottom w:val="single" w:sz="8" w:space="0" w:color="auto"/>
              <w:right w:val="single" w:sz="8" w:space="0" w:color="auto"/>
            </w:tcBorders>
          </w:tcPr>
          <w:p w14:paraId="5990904C" w14:textId="0CB4614D" w:rsidR="62385CB5" w:rsidRDefault="00AF55DE" w:rsidP="62385CB5">
            <w:pPr>
              <w:jc w:val="left"/>
            </w:pPr>
            <w:r w:rsidRPr="62385CB5">
              <w:rPr>
                <w:rFonts w:eastAsia="Arial" w:cs="Arial"/>
                <w:color w:val="000000" w:themeColor="text1"/>
                <w:sz w:val="22"/>
                <w:szCs w:val="22"/>
              </w:rPr>
              <w:t xml:space="preserve">Low </w:t>
            </w:r>
          </w:p>
        </w:tc>
        <w:tc>
          <w:tcPr>
            <w:tcW w:w="1605"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15D89EB6" w14:textId="628CECEB" w:rsidR="62385CB5" w:rsidRDefault="00AF55DE" w:rsidP="62385CB5">
            <w:pPr>
              <w:jc w:val="center"/>
            </w:pPr>
            <w:r w:rsidRPr="62385CB5">
              <w:rPr>
                <w:rFonts w:eastAsia="Arial" w:cs="Arial"/>
                <w:color w:val="000000" w:themeColor="text1"/>
                <w:sz w:val="22"/>
                <w:szCs w:val="22"/>
              </w:rPr>
              <w:t xml:space="preserve">0.22% </w:t>
            </w:r>
          </w:p>
        </w:tc>
        <w:tc>
          <w:tcPr>
            <w:tcW w:w="1785"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14:paraId="55734F11" w14:textId="28CC54E7" w:rsidR="62385CB5" w:rsidRDefault="00AF55DE" w:rsidP="62385CB5">
            <w:pPr>
              <w:jc w:val="center"/>
            </w:pPr>
            <w:r w:rsidRPr="62385CB5">
              <w:rPr>
                <w:rFonts w:eastAsia="Arial" w:cs="Arial"/>
                <w:color w:val="000000" w:themeColor="text1"/>
                <w:sz w:val="22"/>
                <w:szCs w:val="22"/>
              </w:rPr>
              <w:t xml:space="preserve">-2.28% </w:t>
            </w:r>
          </w:p>
        </w:tc>
        <w:tc>
          <w:tcPr>
            <w:tcW w:w="1770" w:type="dxa"/>
            <w:tcBorders>
              <w:top w:val="single" w:sz="8" w:space="0" w:color="auto"/>
              <w:left w:val="single" w:sz="8" w:space="0" w:color="auto"/>
              <w:bottom w:val="single" w:sz="8" w:space="0" w:color="auto"/>
              <w:right w:val="single" w:sz="8" w:space="0" w:color="auto"/>
            </w:tcBorders>
            <w:shd w:val="clear" w:color="auto" w:fill="F7CAAC" w:themeFill="accent2" w:themeFillTint="66"/>
          </w:tcPr>
          <w:p w14:paraId="1EDDD77C" w14:textId="5BCD650F" w:rsidR="62385CB5" w:rsidRDefault="00AF55DE" w:rsidP="62385CB5">
            <w:pPr>
              <w:jc w:val="center"/>
            </w:pPr>
            <w:r w:rsidRPr="62385CB5">
              <w:rPr>
                <w:rFonts w:eastAsia="Arial" w:cs="Arial"/>
                <w:color w:val="000000" w:themeColor="text1"/>
                <w:sz w:val="22"/>
                <w:szCs w:val="22"/>
              </w:rPr>
              <w:t xml:space="preserve">0.44% </w:t>
            </w:r>
          </w:p>
        </w:tc>
        <w:tc>
          <w:tcPr>
            <w:tcW w:w="1980"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14:paraId="49CE4EE2" w14:textId="1A668794" w:rsidR="62385CB5" w:rsidRDefault="00AF55DE" w:rsidP="62385CB5">
            <w:pPr>
              <w:jc w:val="center"/>
            </w:pPr>
            <w:r w:rsidRPr="002220AE">
              <w:rPr>
                <w:rFonts w:cs="Arial"/>
                <w:sz w:val="20"/>
                <w:szCs w:val="20"/>
                <w:lang w:eastAsia="en-GB"/>
              </w:rPr>
              <w:t>-0.59%</w:t>
            </w:r>
            <w:r w:rsidRPr="62385CB5">
              <w:rPr>
                <w:rFonts w:ascii="Segoe UI" w:eastAsia="Segoe UI" w:hAnsi="Segoe UI" w:cs="Segoe UI"/>
                <w:color w:val="000000" w:themeColor="text1"/>
                <w:sz w:val="18"/>
                <w:szCs w:val="18"/>
              </w:rPr>
              <w:t xml:space="preserve"> </w:t>
            </w:r>
          </w:p>
        </w:tc>
        <w:tc>
          <w:tcPr>
            <w:tcW w:w="1200" w:type="dxa"/>
            <w:tcBorders>
              <w:top w:val="single" w:sz="8" w:space="0" w:color="auto"/>
              <w:left w:val="single" w:sz="8" w:space="0" w:color="auto"/>
              <w:bottom w:val="single" w:sz="8" w:space="0" w:color="auto"/>
              <w:right w:val="single" w:sz="8" w:space="0" w:color="auto"/>
            </w:tcBorders>
            <w:shd w:val="clear" w:color="auto" w:fill="FFFFFF" w:themeFill="background1"/>
          </w:tcPr>
          <w:p w14:paraId="35B5C16B" w14:textId="34112C0F" w:rsidR="62385CB5" w:rsidRDefault="00AF55DE" w:rsidP="62385CB5">
            <w:pPr>
              <w:jc w:val="center"/>
            </w:pPr>
            <w:r w:rsidRPr="62385CB5">
              <w:rPr>
                <w:rFonts w:ascii="Calibri" w:hAnsi="Calibri" w:cs="Calibri"/>
                <w:color w:val="000000" w:themeColor="text1"/>
                <w:sz w:val="22"/>
                <w:szCs w:val="22"/>
              </w:rPr>
              <w:t xml:space="preserve"> </w:t>
            </w:r>
            <w:r w:rsidRPr="62385CB5">
              <w:rPr>
                <w:rFonts w:eastAsia="Arial" w:cs="Arial"/>
                <w:color w:val="000000" w:themeColor="text1"/>
                <w:sz w:val="22"/>
                <w:szCs w:val="22"/>
              </w:rPr>
              <w:t>0</w:t>
            </w:r>
            <w:r w:rsidR="2C391E7F" w:rsidRPr="62385CB5">
              <w:rPr>
                <w:rFonts w:eastAsia="Arial" w:cs="Arial"/>
                <w:color w:val="000000" w:themeColor="text1"/>
                <w:sz w:val="22"/>
                <w:szCs w:val="22"/>
              </w:rPr>
              <w:t>%</w:t>
            </w:r>
          </w:p>
        </w:tc>
      </w:tr>
      <w:tr w:rsidR="00BB349C" w14:paraId="796AC71F" w14:textId="77777777" w:rsidTr="78C3123E">
        <w:trPr>
          <w:trHeight w:val="840"/>
        </w:trPr>
        <w:tc>
          <w:tcPr>
            <w:tcW w:w="1935" w:type="dxa"/>
            <w:tcBorders>
              <w:top w:val="single" w:sz="8" w:space="0" w:color="auto"/>
              <w:left w:val="single" w:sz="8" w:space="0" w:color="auto"/>
              <w:bottom w:val="single" w:sz="8" w:space="0" w:color="auto"/>
              <w:right w:val="single" w:sz="8" w:space="0" w:color="auto"/>
            </w:tcBorders>
          </w:tcPr>
          <w:p w14:paraId="6B42AFB5" w14:textId="75B8B346" w:rsidR="62385CB5" w:rsidRDefault="00AF55DE" w:rsidP="62385CB5">
            <w:pPr>
              <w:jc w:val="left"/>
            </w:pPr>
            <w:r w:rsidRPr="62385CB5">
              <w:rPr>
                <w:rFonts w:eastAsia="Arial" w:cs="Arial"/>
                <w:color w:val="000000" w:themeColor="text1"/>
                <w:sz w:val="22"/>
                <w:szCs w:val="22"/>
              </w:rPr>
              <w:t xml:space="preserve">Proportion of budget supported by reserves  </w:t>
            </w:r>
          </w:p>
        </w:tc>
        <w:tc>
          <w:tcPr>
            <w:tcW w:w="1305" w:type="dxa"/>
            <w:tcBorders>
              <w:top w:val="single" w:sz="8" w:space="0" w:color="auto"/>
              <w:left w:val="single" w:sz="8" w:space="0" w:color="auto"/>
              <w:bottom w:val="single" w:sz="8" w:space="0" w:color="auto"/>
              <w:right w:val="single" w:sz="8" w:space="0" w:color="auto"/>
            </w:tcBorders>
          </w:tcPr>
          <w:p w14:paraId="764AF93B" w14:textId="44D06637" w:rsidR="62385CB5" w:rsidRDefault="00AF55DE" w:rsidP="62385CB5">
            <w:pPr>
              <w:jc w:val="left"/>
            </w:pPr>
            <w:r w:rsidRPr="62385CB5">
              <w:rPr>
                <w:rFonts w:eastAsia="Arial" w:cs="Arial"/>
                <w:color w:val="000000" w:themeColor="text1"/>
                <w:sz w:val="22"/>
                <w:szCs w:val="22"/>
              </w:rPr>
              <w:t xml:space="preserve">Annual </w:t>
            </w:r>
          </w:p>
        </w:tc>
        <w:tc>
          <w:tcPr>
            <w:tcW w:w="1350" w:type="dxa"/>
            <w:tcBorders>
              <w:top w:val="single" w:sz="8" w:space="0" w:color="auto"/>
              <w:left w:val="single" w:sz="8" w:space="0" w:color="auto"/>
              <w:bottom w:val="single" w:sz="8" w:space="0" w:color="auto"/>
              <w:right w:val="single" w:sz="8" w:space="0" w:color="auto"/>
            </w:tcBorders>
          </w:tcPr>
          <w:p w14:paraId="59A649DF" w14:textId="6E4340E4" w:rsidR="62385CB5" w:rsidRDefault="00AF55DE" w:rsidP="62385CB5">
            <w:pPr>
              <w:jc w:val="left"/>
            </w:pPr>
            <w:r w:rsidRPr="62385CB5">
              <w:rPr>
                <w:rFonts w:eastAsia="Arial" w:cs="Arial"/>
                <w:color w:val="000000" w:themeColor="text1"/>
                <w:sz w:val="22"/>
                <w:szCs w:val="22"/>
              </w:rPr>
              <w:t xml:space="preserve">Chief Executive and Director of Resource </w:t>
            </w:r>
          </w:p>
        </w:tc>
        <w:tc>
          <w:tcPr>
            <w:tcW w:w="9270" w:type="dxa"/>
            <w:gridSpan w:val="6"/>
            <w:tcBorders>
              <w:top w:val="single" w:sz="8" w:space="0" w:color="auto"/>
              <w:left w:val="single" w:sz="8" w:space="0" w:color="auto"/>
              <w:bottom w:val="single" w:sz="8" w:space="0" w:color="auto"/>
              <w:right w:val="single" w:sz="8" w:space="0" w:color="auto"/>
            </w:tcBorders>
          </w:tcPr>
          <w:p w14:paraId="59618C62" w14:textId="3A2524C7" w:rsidR="62385CB5" w:rsidRDefault="00AF55DE" w:rsidP="62385CB5">
            <w:pPr>
              <w:jc w:val="left"/>
            </w:pPr>
            <w:r w:rsidRPr="62385CB5">
              <w:rPr>
                <w:rFonts w:eastAsia="Arial" w:cs="Arial"/>
                <w:color w:val="000000" w:themeColor="text1"/>
                <w:sz w:val="22"/>
                <w:szCs w:val="22"/>
              </w:rPr>
              <w:t xml:space="preserve">Annual Statement – schedule to be confirmed </w:t>
            </w:r>
          </w:p>
        </w:tc>
      </w:tr>
      <w:tr w:rsidR="00BB349C" w14:paraId="0B9E90B1" w14:textId="77777777" w:rsidTr="78C3123E">
        <w:trPr>
          <w:trHeight w:val="840"/>
        </w:trPr>
        <w:tc>
          <w:tcPr>
            <w:tcW w:w="1935" w:type="dxa"/>
            <w:tcBorders>
              <w:top w:val="single" w:sz="8" w:space="0" w:color="auto"/>
              <w:left w:val="single" w:sz="8" w:space="0" w:color="auto"/>
              <w:bottom w:val="single" w:sz="8" w:space="0" w:color="auto"/>
              <w:right w:val="single" w:sz="8" w:space="0" w:color="auto"/>
            </w:tcBorders>
          </w:tcPr>
          <w:p w14:paraId="41C3CEDC" w14:textId="01A51908" w:rsidR="62385CB5" w:rsidRPr="001E31D4" w:rsidRDefault="00AF55DE" w:rsidP="62385CB5">
            <w:pPr>
              <w:jc w:val="left"/>
            </w:pPr>
            <w:r w:rsidRPr="62385CB5">
              <w:rPr>
                <w:rFonts w:eastAsia="Arial" w:cs="Arial"/>
                <w:color w:val="000000" w:themeColor="text1"/>
                <w:sz w:val="22"/>
                <w:szCs w:val="22"/>
              </w:rPr>
              <w:t xml:space="preserve">Progress on the apprenticeship levy </w:t>
            </w:r>
          </w:p>
        </w:tc>
        <w:tc>
          <w:tcPr>
            <w:tcW w:w="1305" w:type="dxa"/>
            <w:tcBorders>
              <w:top w:val="single" w:sz="8" w:space="0" w:color="auto"/>
              <w:left w:val="single" w:sz="8" w:space="0" w:color="auto"/>
              <w:bottom w:val="single" w:sz="8" w:space="0" w:color="auto"/>
              <w:right w:val="single" w:sz="8" w:space="0" w:color="auto"/>
            </w:tcBorders>
          </w:tcPr>
          <w:p w14:paraId="1CD23A2C" w14:textId="78398810" w:rsidR="62385CB5" w:rsidRDefault="00AF55DE" w:rsidP="62385CB5">
            <w:pPr>
              <w:jc w:val="left"/>
            </w:pPr>
            <w:r w:rsidRPr="62385CB5">
              <w:rPr>
                <w:rFonts w:eastAsia="Arial" w:cs="Arial"/>
                <w:color w:val="000000" w:themeColor="text1"/>
                <w:sz w:val="22"/>
                <w:szCs w:val="22"/>
              </w:rPr>
              <w:t xml:space="preserve">Annual </w:t>
            </w:r>
          </w:p>
        </w:tc>
        <w:tc>
          <w:tcPr>
            <w:tcW w:w="1350" w:type="dxa"/>
            <w:tcBorders>
              <w:top w:val="single" w:sz="8" w:space="0" w:color="auto"/>
              <w:left w:val="single" w:sz="8" w:space="0" w:color="auto"/>
              <w:bottom w:val="single" w:sz="8" w:space="0" w:color="auto"/>
              <w:right w:val="single" w:sz="8" w:space="0" w:color="auto"/>
            </w:tcBorders>
          </w:tcPr>
          <w:p w14:paraId="266CA63B" w14:textId="1CE74B34" w:rsidR="62385CB5" w:rsidRDefault="00AF55DE" w:rsidP="62385CB5">
            <w:pPr>
              <w:jc w:val="left"/>
            </w:pPr>
            <w:r w:rsidRPr="62385CB5">
              <w:rPr>
                <w:rFonts w:eastAsia="Arial" w:cs="Arial"/>
                <w:color w:val="000000" w:themeColor="text1"/>
                <w:sz w:val="22"/>
                <w:szCs w:val="22"/>
              </w:rPr>
              <w:t xml:space="preserve">Chief Executive and Director of Resources </w:t>
            </w:r>
          </w:p>
        </w:tc>
        <w:tc>
          <w:tcPr>
            <w:tcW w:w="9270" w:type="dxa"/>
            <w:gridSpan w:val="6"/>
            <w:tcBorders>
              <w:top w:val="single" w:sz="8" w:space="0" w:color="auto"/>
              <w:left w:val="single" w:sz="8" w:space="0" w:color="auto"/>
              <w:bottom w:val="single" w:sz="8" w:space="0" w:color="auto"/>
              <w:right w:val="single" w:sz="8" w:space="0" w:color="auto"/>
            </w:tcBorders>
          </w:tcPr>
          <w:p w14:paraId="35E76634" w14:textId="753AFE1A" w:rsidR="62385CB5" w:rsidRDefault="00AF55DE" w:rsidP="62385CB5">
            <w:pPr>
              <w:jc w:val="left"/>
            </w:pPr>
            <w:r w:rsidRPr="62385CB5">
              <w:rPr>
                <w:rFonts w:eastAsia="Arial" w:cs="Arial"/>
                <w:color w:val="000000" w:themeColor="text1"/>
                <w:sz w:val="22"/>
                <w:szCs w:val="22"/>
              </w:rPr>
              <w:t xml:space="preserve">Annual Report – schedule to be confirmed </w:t>
            </w:r>
          </w:p>
        </w:tc>
      </w:tr>
      <w:tr w:rsidR="00BB349C" w14:paraId="0A7D9CF1" w14:textId="77777777" w:rsidTr="78C3123E">
        <w:trPr>
          <w:trHeight w:val="840"/>
        </w:trPr>
        <w:tc>
          <w:tcPr>
            <w:tcW w:w="1935" w:type="dxa"/>
            <w:tcBorders>
              <w:top w:val="single" w:sz="8" w:space="0" w:color="auto"/>
              <w:left w:val="single" w:sz="8" w:space="0" w:color="auto"/>
              <w:bottom w:val="single" w:sz="8" w:space="0" w:color="auto"/>
              <w:right w:val="single" w:sz="8" w:space="0" w:color="auto"/>
            </w:tcBorders>
          </w:tcPr>
          <w:p w14:paraId="38B7B410" w14:textId="6E3CB174" w:rsidR="62385CB5" w:rsidRDefault="00AF55DE" w:rsidP="62385CB5">
            <w:pPr>
              <w:jc w:val="left"/>
            </w:pPr>
            <w:r w:rsidRPr="62385CB5">
              <w:rPr>
                <w:rFonts w:eastAsia="Arial" w:cs="Arial"/>
                <w:color w:val="000000" w:themeColor="text1"/>
                <w:sz w:val="22"/>
                <w:szCs w:val="22"/>
              </w:rPr>
              <w:t xml:space="preserve">Audit report </w:t>
            </w:r>
          </w:p>
        </w:tc>
        <w:tc>
          <w:tcPr>
            <w:tcW w:w="1305" w:type="dxa"/>
            <w:tcBorders>
              <w:top w:val="single" w:sz="8" w:space="0" w:color="auto"/>
              <w:left w:val="single" w:sz="8" w:space="0" w:color="auto"/>
              <w:bottom w:val="single" w:sz="8" w:space="0" w:color="auto"/>
              <w:right w:val="single" w:sz="8" w:space="0" w:color="auto"/>
            </w:tcBorders>
          </w:tcPr>
          <w:p w14:paraId="2C43472D" w14:textId="4F2920A8" w:rsidR="62385CB5" w:rsidRDefault="00AF55DE" w:rsidP="62385CB5">
            <w:pPr>
              <w:jc w:val="left"/>
            </w:pPr>
            <w:r w:rsidRPr="62385CB5">
              <w:rPr>
                <w:rFonts w:eastAsia="Arial" w:cs="Arial"/>
                <w:color w:val="000000" w:themeColor="text1"/>
                <w:sz w:val="22"/>
                <w:szCs w:val="22"/>
              </w:rPr>
              <w:t xml:space="preserve">Annual </w:t>
            </w:r>
          </w:p>
        </w:tc>
        <w:tc>
          <w:tcPr>
            <w:tcW w:w="1350" w:type="dxa"/>
            <w:tcBorders>
              <w:top w:val="single" w:sz="8" w:space="0" w:color="auto"/>
              <w:left w:val="single" w:sz="8" w:space="0" w:color="auto"/>
              <w:bottom w:val="single" w:sz="8" w:space="0" w:color="auto"/>
              <w:right w:val="single" w:sz="8" w:space="0" w:color="auto"/>
            </w:tcBorders>
          </w:tcPr>
          <w:p w14:paraId="00CE111D" w14:textId="2B0625D5" w:rsidR="62385CB5" w:rsidRDefault="00AF55DE" w:rsidP="62385CB5">
            <w:pPr>
              <w:jc w:val="left"/>
            </w:pPr>
            <w:r w:rsidRPr="62385CB5">
              <w:rPr>
                <w:rFonts w:eastAsia="Arial" w:cs="Arial"/>
                <w:color w:val="000000" w:themeColor="text1"/>
                <w:sz w:val="22"/>
                <w:szCs w:val="22"/>
              </w:rPr>
              <w:t xml:space="preserve">Chief Executive and Director of Resources </w:t>
            </w:r>
          </w:p>
        </w:tc>
        <w:tc>
          <w:tcPr>
            <w:tcW w:w="9270" w:type="dxa"/>
            <w:gridSpan w:val="6"/>
            <w:tcBorders>
              <w:top w:val="single" w:sz="8" w:space="0" w:color="auto"/>
              <w:left w:val="single" w:sz="8" w:space="0" w:color="auto"/>
              <w:bottom w:val="single" w:sz="8" w:space="0" w:color="auto"/>
              <w:right w:val="single" w:sz="8" w:space="0" w:color="auto"/>
            </w:tcBorders>
          </w:tcPr>
          <w:p w14:paraId="5C54A2A4" w14:textId="625ECFA4" w:rsidR="62385CB5" w:rsidRDefault="00AF55DE" w:rsidP="62385CB5">
            <w:pPr>
              <w:jc w:val="left"/>
            </w:pPr>
            <w:r w:rsidRPr="62385CB5">
              <w:rPr>
                <w:rFonts w:eastAsia="Arial" w:cs="Arial"/>
                <w:color w:val="000000" w:themeColor="text1"/>
                <w:sz w:val="22"/>
                <w:szCs w:val="22"/>
              </w:rPr>
              <w:t xml:space="preserve">Annual Statement – schedule to be confirmed </w:t>
            </w:r>
          </w:p>
        </w:tc>
      </w:tr>
      <w:tr w:rsidR="00BB349C" w14:paraId="44F7178A" w14:textId="77777777" w:rsidTr="78C3123E">
        <w:trPr>
          <w:trHeight w:val="840"/>
        </w:trPr>
        <w:tc>
          <w:tcPr>
            <w:tcW w:w="1935" w:type="dxa"/>
            <w:tcBorders>
              <w:top w:val="single" w:sz="8" w:space="0" w:color="auto"/>
              <w:left w:val="single" w:sz="8" w:space="0" w:color="auto"/>
              <w:bottom w:val="single" w:sz="8" w:space="0" w:color="auto"/>
              <w:right w:val="single" w:sz="8" w:space="0" w:color="auto"/>
            </w:tcBorders>
          </w:tcPr>
          <w:p w14:paraId="69CBD0E1" w14:textId="3952AB39" w:rsidR="62385CB5" w:rsidRDefault="00AF55DE" w:rsidP="62385CB5">
            <w:pPr>
              <w:jc w:val="left"/>
            </w:pPr>
            <w:r w:rsidRPr="62385CB5">
              <w:rPr>
                <w:rFonts w:eastAsia="Arial" w:cs="Arial"/>
                <w:color w:val="000000" w:themeColor="text1"/>
                <w:sz w:val="22"/>
                <w:szCs w:val="22"/>
              </w:rPr>
              <w:lastRenderedPageBreak/>
              <w:t xml:space="preserve">Progress on organisational development  </w:t>
            </w:r>
          </w:p>
        </w:tc>
        <w:tc>
          <w:tcPr>
            <w:tcW w:w="1305" w:type="dxa"/>
            <w:tcBorders>
              <w:top w:val="single" w:sz="8" w:space="0" w:color="auto"/>
              <w:left w:val="single" w:sz="8" w:space="0" w:color="auto"/>
              <w:bottom w:val="single" w:sz="8" w:space="0" w:color="auto"/>
              <w:right w:val="single" w:sz="8" w:space="0" w:color="auto"/>
            </w:tcBorders>
          </w:tcPr>
          <w:p w14:paraId="21954067" w14:textId="04431DF1" w:rsidR="62385CB5" w:rsidRDefault="00AF55DE" w:rsidP="62385CB5">
            <w:pPr>
              <w:jc w:val="left"/>
            </w:pPr>
            <w:r w:rsidRPr="62385CB5">
              <w:rPr>
                <w:rFonts w:eastAsia="Arial" w:cs="Arial"/>
                <w:color w:val="000000" w:themeColor="text1"/>
                <w:sz w:val="22"/>
                <w:szCs w:val="22"/>
              </w:rPr>
              <w:t xml:space="preserve">Annual </w:t>
            </w:r>
          </w:p>
        </w:tc>
        <w:tc>
          <w:tcPr>
            <w:tcW w:w="1350" w:type="dxa"/>
            <w:tcBorders>
              <w:top w:val="single" w:sz="8" w:space="0" w:color="auto"/>
              <w:left w:val="single" w:sz="8" w:space="0" w:color="auto"/>
              <w:bottom w:val="single" w:sz="8" w:space="0" w:color="auto"/>
              <w:right w:val="single" w:sz="8" w:space="0" w:color="auto"/>
            </w:tcBorders>
          </w:tcPr>
          <w:p w14:paraId="4FBF1B89" w14:textId="65ADB9A8" w:rsidR="62385CB5" w:rsidRDefault="00AF55DE" w:rsidP="62385CB5">
            <w:pPr>
              <w:jc w:val="left"/>
            </w:pPr>
            <w:r w:rsidRPr="62385CB5">
              <w:rPr>
                <w:rFonts w:eastAsia="Arial" w:cs="Arial"/>
                <w:color w:val="000000" w:themeColor="text1"/>
                <w:sz w:val="22"/>
                <w:szCs w:val="22"/>
              </w:rPr>
              <w:t xml:space="preserve">Chief Executive and Director of Resources </w:t>
            </w:r>
          </w:p>
        </w:tc>
        <w:tc>
          <w:tcPr>
            <w:tcW w:w="9270" w:type="dxa"/>
            <w:gridSpan w:val="6"/>
            <w:tcBorders>
              <w:top w:val="single" w:sz="8" w:space="0" w:color="auto"/>
              <w:left w:val="single" w:sz="8" w:space="0" w:color="auto"/>
              <w:bottom w:val="single" w:sz="8" w:space="0" w:color="auto"/>
              <w:right w:val="single" w:sz="8" w:space="0" w:color="auto"/>
            </w:tcBorders>
          </w:tcPr>
          <w:p w14:paraId="4448E98F" w14:textId="45A2E1E5" w:rsidR="62385CB5" w:rsidRDefault="00AF55DE" w:rsidP="62385CB5">
            <w:pPr>
              <w:jc w:val="left"/>
            </w:pPr>
            <w:r w:rsidRPr="62385CB5">
              <w:rPr>
                <w:rFonts w:eastAsia="Arial" w:cs="Arial"/>
                <w:color w:val="000000" w:themeColor="text1"/>
                <w:sz w:val="22"/>
                <w:szCs w:val="22"/>
              </w:rPr>
              <w:t>Annual Rep</w:t>
            </w:r>
            <w:r w:rsidRPr="62385CB5">
              <w:rPr>
                <w:rFonts w:eastAsia="Arial" w:cs="Arial"/>
                <w:color w:val="000000" w:themeColor="text1"/>
                <w:sz w:val="22"/>
                <w:szCs w:val="22"/>
              </w:rPr>
              <w:t>ort – schedule to be confirmed</w:t>
            </w:r>
          </w:p>
        </w:tc>
      </w:tr>
    </w:tbl>
    <w:p w14:paraId="753600C9" w14:textId="77777777" w:rsidR="0032288D" w:rsidRPr="001A49B5" w:rsidRDefault="0032288D" w:rsidP="0032288D">
      <w:pPr>
        <w:rPr>
          <w:rFonts w:cs="Arial"/>
          <w:b/>
          <w:color w:val="auto"/>
          <w:sz w:val="22"/>
          <w:szCs w:val="22"/>
        </w:rPr>
      </w:pPr>
    </w:p>
    <w:p w14:paraId="2B49B3C6" w14:textId="143BD4D8" w:rsidR="62385CB5" w:rsidRPr="00625772" w:rsidRDefault="00AF55DE" w:rsidP="62385CB5">
      <w:pPr>
        <w:rPr>
          <w:rFonts w:eastAsiaTheme="minorHAnsi" w:cs="Arial"/>
          <w:color w:val="auto"/>
          <w:sz w:val="22"/>
          <w:szCs w:val="22"/>
        </w:rPr>
      </w:pPr>
      <w:r w:rsidRPr="62385CB5">
        <w:rPr>
          <w:rFonts w:cs="Arial"/>
          <w:b/>
          <w:bCs/>
          <w:color w:val="auto"/>
          <w:sz w:val="22"/>
          <w:szCs w:val="22"/>
        </w:rPr>
        <w:t>Revenue forecast outturn % variance to budget</w:t>
      </w:r>
      <w:r w:rsidR="1D101C17" w:rsidRPr="62385CB5">
        <w:rPr>
          <w:rFonts w:cs="Arial"/>
          <w:b/>
          <w:bCs/>
          <w:color w:val="FF0000"/>
          <w:sz w:val="22"/>
          <w:szCs w:val="22"/>
        </w:rPr>
        <w:t>.</w:t>
      </w:r>
      <w:r w:rsidRPr="62385CB5">
        <w:rPr>
          <w:color w:val="FF0000"/>
          <w:sz w:val="22"/>
          <w:szCs w:val="22"/>
        </w:rPr>
        <w:t xml:space="preserve"> </w:t>
      </w:r>
      <w:r w:rsidR="00DD780B" w:rsidRPr="00625772">
        <w:rPr>
          <w:rFonts w:cs="Arial"/>
          <w:sz w:val="22"/>
          <w:szCs w:val="22"/>
        </w:rPr>
        <w:t>The Q1 forecast is an underspend of £5.219m, which by way of context is 0.59% of the county council's net budget. The underspend is due to a combination of variances across services including underspends on Treasury Management and Children's Social Care offset by overspends on Adult Services and Highways and Transport. This is the first forecast of the financial year and therefore a number of assumptions are made based on expenditure and income to date and knowledge of future activity from Budget Holders. We will also be closely monitoring the impact of the pandemic as restrictions are lifted as we still await the impact of pent up demand, which is difficult to forecast with any certainty, given the rapidly changing situation in relation to the pandemic, and volatility in actual demand could lead to a significant variance from the current forecast at a later date.</w:t>
      </w:r>
    </w:p>
    <w:p w14:paraId="3354AF4B" w14:textId="791B6140" w:rsidR="00E0671D" w:rsidRPr="00C05702" w:rsidRDefault="00AF55DE" w:rsidP="00E0671D">
      <w:pPr>
        <w:rPr>
          <w:rFonts w:ascii="Calibri" w:eastAsiaTheme="minorHAnsi" w:hAnsi="Calibri" w:cs="Calibri"/>
          <w:color w:val="auto"/>
          <w:sz w:val="22"/>
          <w:szCs w:val="22"/>
        </w:rPr>
      </w:pPr>
      <w:r w:rsidRPr="62385CB5">
        <w:rPr>
          <w:rFonts w:cs="Arial"/>
          <w:b/>
          <w:bCs/>
          <w:color w:val="auto"/>
          <w:sz w:val="22"/>
          <w:szCs w:val="22"/>
        </w:rPr>
        <w:t>Sickness absence</w:t>
      </w:r>
      <w:r w:rsidR="74190605" w:rsidRPr="62385CB5">
        <w:rPr>
          <w:rFonts w:cs="Arial"/>
          <w:color w:val="auto"/>
          <w:sz w:val="22"/>
          <w:szCs w:val="22"/>
        </w:rPr>
        <w:t xml:space="preserve">. </w:t>
      </w:r>
      <w:r w:rsidRPr="00C05702">
        <w:rPr>
          <w:sz w:val="22"/>
          <w:szCs w:val="22"/>
        </w:rPr>
        <w:t xml:space="preserve">We have observed a slight </w:t>
      </w:r>
      <w:r w:rsidRPr="00C05702">
        <w:rPr>
          <w:sz w:val="22"/>
          <w:szCs w:val="22"/>
        </w:rPr>
        <w:t>increase in sickness absence in both May (10.87) and June (10.98), following our lowest figures in April (10.64). Benchmarking data from two other councils displays a similar trend, indicating a slight increase in the first quarter. We recognise that the d</w:t>
      </w:r>
      <w:r w:rsidRPr="00C05702">
        <w:rPr>
          <w:sz w:val="22"/>
          <w:szCs w:val="22"/>
        </w:rPr>
        <w:t>ifferent ways of working</w:t>
      </w:r>
      <w:r w:rsidR="00C05702" w:rsidRPr="00C05702">
        <w:rPr>
          <w:sz w:val="22"/>
          <w:szCs w:val="22"/>
        </w:rPr>
        <w:t xml:space="preserve"> </w:t>
      </w:r>
      <w:r w:rsidRPr="00C05702">
        <w:rPr>
          <w:sz w:val="22"/>
          <w:szCs w:val="22"/>
        </w:rPr>
        <w:t>during the pandemic influenced and benefitted sickness absence and, going forward, 'Our Ways of Working' will look to capture as many of these benefits as possible.</w:t>
      </w:r>
    </w:p>
    <w:p w14:paraId="52D5A0DE" w14:textId="77777777" w:rsidR="00E0671D" w:rsidRPr="00C05702" w:rsidRDefault="00AF55DE" w:rsidP="00E0671D">
      <w:pPr>
        <w:rPr>
          <w:sz w:val="22"/>
          <w:szCs w:val="22"/>
        </w:rPr>
      </w:pPr>
      <w:r w:rsidRPr="00C05702">
        <w:rPr>
          <w:sz w:val="22"/>
          <w:szCs w:val="22"/>
        </w:rPr>
        <w:t>Analysis from July data shows a 28% increase in days lost due to m</w:t>
      </w:r>
      <w:r w:rsidRPr="00C05702">
        <w:rPr>
          <w:sz w:val="22"/>
          <w:szCs w:val="22"/>
        </w:rPr>
        <w:t>edical/dental/hospital treatment since April, which is attributed to operations and treatment resuming following the Covid 19 restrictions. This category also includes covid vaccination side effects. Mental health related illness remains the top reason for</w:t>
      </w:r>
      <w:r w:rsidRPr="00C05702">
        <w:rPr>
          <w:sz w:val="22"/>
          <w:szCs w:val="22"/>
        </w:rPr>
        <w:t xml:space="preserve"> absence accounting for 37.93% of days lost followed by musculoskeletal absences (13.21%) and Covid 19 (8.93%). </w:t>
      </w:r>
    </w:p>
    <w:p w14:paraId="68894F92" w14:textId="77777777" w:rsidR="00E0671D" w:rsidRPr="00C05702" w:rsidRDefault="00AF55DE" w:rsidP="00E0671D">
      <w:pPr>
        <w:rPr>
          <w:sz w:val="22"/>
          <w:szCs w:val="22"/>
        </w:rPr>
      </w:pPr>
      <w:r w:rsidRPr="00C05702">
        <w:rPr>
          <w:sz w:val="22"/>
          <w:szCs w:val="22"/>
        </w:rPr>
        <w:t>During this quarter, the number of long-term absence cases continues to rise, which is anticipated to be due to delays in treatment and operati</w:t>
      </w:r>
      <w:r w:rsidRPr="00C05702">
        <w:rPr>
          <w:sz w:val="22"/>
          <w:szCs w:val="22"/>
        </w:rPr>
        <w:t>ons, however the number of cases over 12 months duration has reduced by 33%.</w:t>
      </w:r>
    </w:p>
    <w:p w14:paraId="76BE7598" w14:textId="77777777" w:rsidR="00E0671D" w:rsidRPr="00C05702" w:rsidRDefault="00AF55DE" w:rsidP="00E0671D">
      <w:pPr>
        <w:rPr>
          <w:sz w:val="22"/>
          <w:szCs w:val="22"/>
        </w:rPr>
      </w:pPr>
      <w:r w:rsidRPr="00C05702">
        <w:rPr>
          <w:sz w:val="22"/>
          <w:szCs w:val="22"/>
        </w:rPr>
        <w:t>We are continuing to closely monitor the number of long-covid absences and are directing our resource to provide support and guidance to services for these cases.</w:t>
      </w:r>
    </w:p>
    <w:p w14:paraId="03B23518" w14:textId="77777777" w:rsidR="00E0671D" w:rsidRDefault="00E0671D" w:rsidP="00E0671D">
      <w:pPr>
        <w:rPr>
          <w:rFonts w:cs="Arial"/>
        </w:rPr>
      </w:pPr>
    </w:p>
    <w:p w14:paraId="1ED758B8" w14:textId="66AB8A58" w:rsidR="21057C25" w:rsidRDefault="21057C25" w:rsidP="001F674A">
      <w:pPr>
        <w:rPr>
          <w:rFonts w:eastAsia="Arial" w:cs="Arial"/>
          <w:sz w:val="22"/>
          <w:szCs w:val="22"/>
        </w:rPr>
      </w:pPr>
    </w:p>
    <w:p w14:paraId="01AA1163" w14:textId="65C05E74" w:rsidR="62385CB5" w:rsidRDefault="62385CB5" w:rsidP="62385CB5">
      <w:pPr>
        <w:spacing w:after="0"/>
        <w:rPr>
          <w:color w:val="000000" w:themeColor="text1"/>
        </w:rPr>
      </w:pPr>
    </w:p>
    <w:sectPr w:rsidR="62385CB5" w:rsidSect="009E6494">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949BF" w14:textId="77777777" w:rsidR="00000000" w:rsidRDefault="00AF55DE">
      <w:pPr>
        <w:spacing w:after="0"/>
      </w:pPr>
      <w:r>
        <w:separator/>
      </w:r>
    </w:p>
  </w:endnote>
  <w:endnote w:type="continuationSeparator" w:id="0">
    <w:p w14:paraId="6DC73A4B" w14:textId="77777777" w:rsidR="00000000" w:rsidRDefault="00AF55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C97CC" w14:textId="356AAADF" w:rsidR="002B0DBD" w:rsidRDefault="00AF55DE">
    <w:pPr>
      <w:pStyle w:val="Footer"/>
    </w:pPr>
    <w:r w:rsidRPr="00DD214D">
      <w:rPr>
        <w:sz w:val="20"/>
        <w:szCs w:val="20"/>
      </w:rPr>
      <w:t xml:space="preserve">Please note all data </w:t>
    </w:r>
    <w:r>
      <w:rPr>
        <w:sz w:val="20"/>
        <w:szCs w:val="20"/>
      </w:rPr>
      <w:t>was</w:t>
    </w:r>
    <w:r w:rsidRPr="00DD214D">
      <w:rPr>
        <w:sz w:val="20"/>
        <w:szCs w:val="20"/>
      </w:rPr>
      <w:t xml:space="preserve"> correct at the time of publication, however </w:t>
    </w:r>
    <w:r>
      <w:rPr>
        <w:sz w:val="20"/>
        <w:szCs w:val="20"/>
      </w:rPr>
      <w:t>they may</w:t>
    </w:r>
    <w:r w:rsidRPr="00DD214D">
      <w:rPr>
        <w:sz w:val="20"/>
        <w:szCs w:val="20"/>
      </w:rPr>
      <w:t xml:space="preserve"> change </w:t>
    </w:r>
    <w:r>
      <w:rPr>
        <w:sz w:val="20"/>
        <w:szCs w:val="20"/>
      </w:rPr>
      <w:t xml:space="preserve">due to validation processes including for </w:t>
    </w:r>
    <w:r>
      <w:rPr>
        <w:sz w:val="20"/>
        <w:szCs w:val="20"/>
      </w:rPr>
      <w:t>statutory reporting</w:t>
    </w:r>
    <w:r>
      <w:t>.</w:t>
    </w:r>
  </w:p>
  <w:p w14:paraId="73F7074F" w14:textId="77777777" w:rsidR="002B0DBD" w:rsidRDefault="002B0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25CBE" w14:textId="77777777" w:rsidR="00000000" w:rsidRDefault="00AF55DE">
      <w:pPr>
        <w:spacing w:after="0"/>
      </w:pPr>
      <w:r>
        <w:separator/>
      </w:r>
    </w:p>
  </w:footnote>
  <w:footnote w:type="continuationSeparator" w:id="0">
    <w:p w14:paraId="3578416B" w14:textId="77777777" w:rsidR="00000000" w:rsidRDefault="00AF55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A88FC" w14:textId="77777777" w:rsidR="002B0DBD" w:rsidRDefault="00AF55DE" w:rsidP="0085231B">
    <w:pPr>
      <w:pStyle w:val="Header"/>
      <w:jc w:val="center"/>
    </w:pPr>
    <w:r>
      <w:t xml:space="preserve">                                                       Corporate Strategy Key Performance Indicators</w:t>
    </w:r>
    <w:r>
      <w:tab/>
    </w:r>
    <w:r>
      <w:tab/>
    </w:r>
    <w:r>
      <w:tab/>
    </w:r>
    <w:r>
      <w:tab/>
    </w:r>
    <w:r>
      <w:tab/>
      <w:t>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7E41"/>
    <w:multiLevelType w:val="hybridMultilevel"/>
    <w:tmpl w:val="8BFAA12A"/>
    <w:lvl w:ilvl="0" w:tplc="CB7019B0">
      <w:start w:val="1"/>
      <w:numFmt w:val="decimal"/>
      <w:lvlText w:val="%1."/>
      <w:lvlJc w:val="left"/>
      <w:pPr>
        <w:ind w:left="360" w:hanging="360"/>
      </w:pPr>
    </w:lvl>
    <w:lvl w:ilvl="1" w:tplc="C16A93B4">
      <w:start w:val="1"/>
      <w:numFmt w:val="lowerLetter"/>
      <w:lvlText w:val="%2."/>
      <w:lvlJc w:val="left"/>
      <w:pPr>
        <w:ind w:left="1080" w:hanging="360"/>
      </w:pPr>
    </w:lvl>
    <w:lvl w:ilvl="2" w:tplc="D946D32A">
      <w:start w:val="1"/>
      <w:numFmt w:val="lowerRoman"/>
      <w:lvlText w:val="%3."/>
      <w:lvlJc w:val="right"/>
      <w:pPr>
        <w:ind w:left="1800" w:hanging="180"/>
      </w:pPr>
    </w:lvl>
    <w:lvl w:ilvl="3" w:tplc="9B800732">
      <w:start w:val="1"/>
      <w:numFmt w:val="decimal"/>
      <w:lvlText w:val="%4."/>
      <w:lvlJc w:val="left"/>
      <w:pPr>
        <w:ind w:left="2520" w:hanging="360"/>
      </w:pPr>
    </w:lvl>
    <w:lvl w:ilvl="4" w:tplc="8D00D5D6">
      <w:start w:val="1"/>
      <w:numFmt w:val="lowerLetter"/>
      <w:lvlText w:val="%5."/>
      <w:lvlJc w:val="left"/>
      <w:pPr>
        <w:ind w:left="3240" w:hanging="360"/>
      </w:pPr>
    </w:lvl>
    <w:lvl w:ilvl="5" w:tplc="141E317C">
      <w:start w:val="1"/>
      <w:numFmt w:val="lowerRoman"/>
      <w:lvlText w:val="%6."/>
      <w:lvlJc w:val="right"/>
      <w:pPr>
        <w:ind w:left="3960" w:hanging="180"/>
      </w:pPr>
    </w:lvl>
    <w:lvl w:ilvl="6" w:tplc="A78C413E">
      <w:start w:val="1"/>
      <w:numFmt w:val="decimal"/>
      <w:lvlText w:val="%7."/>
      <w:lvlJc w:val="left"/>
      <w:pPr>
        <w:ind w:left="4680" w:hanging="360"/>
      </w:pPr>
    </w:lvl>
    <w:lvl w:ilvl="7" w:tplc="6C14AE54">
      <w:start w:val="1"/>
      <w:numFmt w:val="lowerLetter"/>
      <w:lvlText w:val="%8."/>
      <w:lvlJc w:val="left"/>
      <w:pPr>
        <w:ind w:left="5400" w:hanging="360"/>
      </w:pPr>
    </w:lvl>
    <w:lvl w:ilvl="8" w:tplc="5C7C8F5A">
      <w:start w:val="1"/>
      <w:numFmt w:val="lowerRoman"/>
      <w:lvlText w:val="%9."/>
      <w:lvlJc w:val="right"/>
      <w:pPr>
        <w:ind w:left="6120" w:hanging="180"/>
      </w:pPr>
    </w:lvl>
  </w:abstractNum>
  <w:abstractNum w:abstractNumId="1" w15:restartNumberingAfterBreak="0">
    <w:nsid w:val="06DC5BAC"/>
    <w:multiLevelType w:val="hybridMultilevel"/>
    <w:tmpl w:val="326E30CE"/>
    <w:lvl w:ilvl="0" w:tplc="FDC4DED0">
      <w:start w:val="1"/>
      <w:numFmt w:val="bullet"/>
      <w:lvlText w:val="·"/>
      <w:lvlJc w:val="left"/>
      <w:pPr>
        <w:ind w:left="720" w:hanging="360"/>
      </w:pPr>
      <w:rPr>
        <w:rFonts w:ascii="Symbol" w:hAnsi="Symbol" w:hint="default"/>
      </w:rPr>
    </w:lvl>
    <w:lvl w:ilvl="1" w:tplc="890CF614">
      <w:start w:val="1"/>
      <w:numFmt w:val="bullet"/>
      <w:lvlText w:val="o"/>
      <w:lvlJc w:val="left"/>
      <w:pPr>
        <w:ind w:left="1440" w:hanging="360"/>
      </w:pPr>
      <w:rPr>
        <w:rFonts w:ascii="Courier New" w:hAnsi="Courier New" w:hint="default"/>
      </w:rPr>
    </w:lvl>
    <w:lvl w:ilvl="2" w:tplc="FB629BA2">
      <w:start w:val="1"/>
      <w:numFmt w:val="bullet"/>
      <w:lvlText w:val=""/>
      <w:lvlJc w:val="left"/>
      <w:pPr>
        <w:ind w:left="2160" w:hanging="360"/>
      </w:pPr>
      <w:rPr>
        <w:rFonts w:ascii="Wingdings" w:hAnsi="Wingdings" w:hint="default"/>
      </w:rPr>
    </w:lvl>
    <w:lvl w:ilvl="3" w:tplc="09706F20">
      <w:start w:val="1"/>
      <w:numFmt w:val="bullet"/>
      <w:lvlText w:val=""/>
      <w:lvlJc w:val="left"/>
      <w:pPr>
        <w:ind w:left="2880" w:hanging="360"/>
      </w:pPr>
      <w:rPr>
        <w:rFonts w:ascii="Symbol" w:hAnsi="Symbol" w:hint="default"/>
      </w:rPr>
    </w:lvl>
    <w:lvl w:ilvl="4" w:tplc="7F4AA47A">
      <w:start w:val="1"/>
      <w:numFmt w:val="bullet"/>
      <w:lvlText w:val="o"/>
      <w:lvlJc w:val="left"/>
      <w:pPr>
        <w:ind w:left="3600" w:hanging="360"/>
      </w:pPr>
      <w:rPr>
        <w:rFonts w:ascii="Courier New" w:hAnsi="Courier New" w:hint="default"/>
      </w:rPr>
    </w:lvl>
    <w:lvl w:ilvl="5" w:tplc="82626CEE">
      <w:start w:val="1"/>
      <w:numFmt w:val="bullet"/>
      <w:lvlText w:val=""/>
      <w:lvlJc w:val="left"/>
      <w:pPr>
        <w:ind w:left="4320" w:hanging="360"/>
      </w:pPr>
      <w:rPr>
        <w:rFonts w:ascii="Wingdings" w:hAnsi="Wingdings" w:hint="default"/>
      </w:rPr>
    </w:lvl>
    <w:lvl w:ilvl="6" w:tplc="4D68F8B0">
      <w:start w:val="1"/>
      <w:numFmt w:val="bullet"/>
      <w:lvlText w:val=""/>
      <w:lvlJc w:val="left"/>
      <w:pPr>
        <w:ind w:left="5040" w:hanging="360"/>
      </w:pPr>
      <w:rPr>
        <w:rFonts w:ascii="Symbol" w:hAnsi="Symbol" w:hint="default"/>
      </w:rPr>
    </w:lvl>
    <w:lvl w:ilvl="7" w:tplc="0FD4A4D0">
      <w:start w:val="1"/>
      <w:numFmt w:val="bullet"/>
      <w:lvlText w:val="o"/>
      <w:lvlJc w:val="left"/>
      <w:pPr>
        <w:ind w:left="5760" w:hanging="360"/>
      </w:pPr>
      <w:rPr>
        <w:rFonts w:ascii="Courier New" w:hAnsi="Courier New" w:hint="default"/>
      </w:rPr>
    </w:lvl>
    <w:lvl w:ilvl="8" w:tplc="705ABBC2">
      <w:start w:val="1"/>
      <w:numFmt w:val="bullet"/>
      <w:lvlText w:val=""/>
      <w:lvlJc w:val="left"/>
      <w:pPr>
        <w:ind w:left="6480" w:hanging="360"/>
      </w:pPr>
      <w:rPr>
        <w:rFonts w:ascii="Wingdings" w:hAnsi="Wingdings" w:hint="default"/>
      </w:rPr>
    </w:lvl>
  </w:abstractNum>
  <w:abstractNum w:abstractNumId="2" w15:restartNumberingAfterBreak="0">
    <w:nsid w:val="0A866933"/>
    <w:multiLevelType w:val="hybridMultilevel"/>
    <w:tmpl w:val="347E2B8E"/>
    <w:lvl w:ilvl="0" w:tplc="885EDF78">
      <w:start w:val="1"/>
      <w:numFmt w:val="bullet"/>
      <w:lvlText w:val=""/>
      <w:lvlJc w:val="left"/>
      <w:pPr>
        <w:ind w:left="720" w:hanging="360"/>
      </w:pPr>
      <w:rPr>
        <w:rFonts w:ascii="Symbol" w:hAnsi="Symbol" w:hint="default"/>
      </w:rPr>
    </w:lvl>
    <w:lvl w:ilvl="1" w:tplc="A410883E" w:tentative="1">
      <w:start w:val="1"/>
      <w:numFmt w:val="bullet"/>
      <w:lvlText w:val="o"/>
      <w:lvlJc w:val="left"/>
      <w:pPr>
        <w:ind w:left="1440" w:hanging="360"/>
      </w:pPr>
      <w:rPr>
        <w:rFonts w:ascii="Courier New" w:hAnsi="Courier New" w:cs="Courier New" w:hint="default"/>
      </w:rPr>
    </w:lvl>
    <w:lvl w:ilvl="2" w:tplc="56E88750" w:tentative="1">
      <w:start w:val="1"/>
      <w:numFmt w:val="bullet"/>
      <w:lvlText w:val=""/>
      <w:lvlJc w:val="left"/>
      <w:pPr>
        <w:ind w:left="2160" w:hanging="360"/>
      </w:pPr>
      <w:rPr>
        <w:rFonts w:ascii="Wingdings" w:hAnsi="Wingdings" w:hint="default"/>
      </w:rPr>
    </w:lvl>
    <w:lvl w:ilvl="3" w:tplc="A2D68ABE" w:tentative="1">
      <w:start w:val="1"/>
      <w:numFmt w:val="bullet"/>
      <w:lvlText w:val=""/>
      <w:lvlJc w:val="left"/>
      <w:pPr>
        <w:ind w:left="2880" w:hanging="360"/>
      </w:pPr>
      <w:rPr>
        <w:rFonts w:ascii="Symbol" w:hAnsi="Symbol" w:hint="default"/>
      </w:rPr>
    </w:lvl>
    <w:lvl w:ilvl="4" w:tplc="408CA424" w:tentative="1">
      <w:start w:val="1"/>
      <w:numFmt w:val="bullet"/>
      <w:lvlText w:val="o"/>
      <w:lvlJc w:val="left"/>
      <w:pPr>
        <w:ind w:left="3600" w:hanging="360"/>
      </w:pPr>
      <w:rPr>
        <w:rFonts w:ascii="Courier New" w:hAnsi="Courier New" w:cs="Courier New" w:hint="default"/>
      </w:rPr>
    </w:lvl>
    <w:lvl w:ilvl="5" w:tplc="9DBE2204" w:tentative="1">
      <w:start w:val="1"/>
      <w:numFmt w:val="bullet"/>
      <w:lvlText w:val=""/>
      <w:lvlJc w:val="left"/>
      <w:pPr>
        <w:ind w:left="4320" w:hanging="360"/>
      </w:pPr>
      <w:rPr>
        <w:rFonts w:ascii="Wingdings" w:hAnsi="Wingdings" w:hint="default"/>
      </w:rPr>
    </w:lvl>
    <w:lvl w:ilvl="6" w:tplc="6876FE10" w:tentative="1">
      <w:start w:val="1"/>
      <w:numFmt w:val="bullet"/>
      <w:lvlText w:val=""/>
      <w:lvlJc w:val="left"/>
      <w:pPr>
        <w:ind w:left="5040" w:hanging="360"/>
      </w:pPr>
      <w:rPr>
        <w:rFonts w:ascii="Symbol" w:hAnsi="Symbol" w:hint="default"/>
      </w:rPr>
    </w:lvl>
    <w:lvl w:ilvl="7" w:tplc="6446357A" w:tentative="1">
      <w:start w:val="1"/>
      <w:numFmt w:val="bullet"/>
      <w:lvlText w:val="o"/>
      <w:lvlJc w:val="left"/>
      <w:pPr>
        <w:ind w:left="5760" w:hanging="360"/>
      </w:pPr>
      <w:rPr>
        <w:rFonts w:ascii="Courier New" w:hAnsi="Courier New" w:cs="Courier New" w:hint="default"/>
      </w:rPr>
    </w:lvl>
    <w:lvl w:ilvl="8" w:tplc="0BDC6B88" w:tentative="1">
      <w:start w:val="1"/>
      <w:numFmt w:val="bullet"/>
      <w:lvlText w:val=""/>
      <w:lvlJc w:val="left"/>
      <w:pPr>
        <w:ind w:left="6480" w:hanging="360"/>
      </w:pPr>
      <w:rPr>
        <w:rFonts w:ascii="Wingdings" w:hAnsi="Wingdings" w:hint="default"/>
      </w:rPr>
    </w:lvl>
  </w:abstractNum>
  <w:abstractNum w:abstractNumId="3" w15:restartNumberingAfterBreak="0">
    <w:nsid w:val="1C495947"/>
    <w:multiLevelType w:val="hybridMultilevel"/>
    <w:tmpl w:val="993AD7DA"/>
    <w:lvl w:ilvl="0" w:tplc="51022C66">
      <w:start w:val="1"/>
      <w:numFmt w:val="bullet"/>
      <w:lvlText w:val=""/>
      <w:lvlJc w:val="left"/>
      <w:pPr>
        <w:ind w:left="360" w:hanging="360"/>
      </w:pPr>
      <w:rPr>
        <w:rFonts w:ascii="Symbol" w:hAnsi="Symbol" w:hint="default"/>
      </w:rPr>
    </w:lvl>
    <w:lvl w:ilvl="1" w:tplc="9D10EE6E" w:tentative="1">
      <w:start w:val="1"/>
      <w:numFmt w:val="bullet"/>
      <w:lvlText w:val="o"/>
      <w:lvlJc w:val="left"/>
      <w:pPr>
        <w:ind w:left="1080" w:hanging="360"/>
      </w:pPr>
      <w:rPr>
        <w:rFonts w:ascii="Courier New" w:hAnsi="Courier New" w:cs="Courier New" w:hint="default"/>
      </w:rPr>
    </w:lvl>
    <w:lvl w:ilvl="2" w:tplc="9C3C23AE" w:tentative="1">
      <w:start w:val="1"/>
      <w:numFmt w:val="bullet"/>
      <w:lvlText w:val=""/>
      <w:lvlJc w:val="left"/>
      <w:pPr>
        <w:ind w:left="1800" w:hanging="360"/>
      </w:pPr>
      <w:rPr>
        <w:rFonts w:ascii="Wingdings" w:hAnsi="Wingdings" w:hint="default"/>
      </w:rPr>
    </w:lvl>
    <w:lvl w:ilvl="3" w:tplc="3332737C" w:tentative="1">
      <w:start w:val="1"/>
      <w:numFmt w:val="bullet"/>
      <w:lvlText w:val=""/>
      <w:lvlJc w:val="left"/>
      <w:pPr>
        <w:ind w:left="2520" w:hanging="360"/>
      </w:pPr>
      <w:rPr>
        <w:rFonts w:ascii="Symbol" w:hAnsi="Symbol" w:hint="default"/>
      </w:rPr>
    </w:lvl>
    <w:lvl w:ilvl="4" w:tplc="BD8AE37C" w:tentative="1">
      <w:start w:val="1"/>
      <w:numFmt w:val="bullet"/>
      <w:lvlText w:val="o"/>
      <w:lvlJc w:val="left"/>
      <w:pPr>
        <w:ind w:left="3240" w:hanging="360"/>
      </w:pPr>
      <w:rPr>
        <w:rFonts w:ascii="Courier New" w:hAnsi="Courier New" w:cs="Courier New" w:hint="default"/>
      </w:rPr>
    </w:lvl>
    <w:lvl w:ilvl="5" w:tplc="D192490C" w:tentative="1">
      <w:start w:val="1"/>
      <w:numFmt w:val="bullet"/>
      <w:lvlText w:val=""/>
      <w:lvlJc w:val="left"/>
      <w:pPr>
        <w:ind w:left="3960" w:hanging="360"/>
      </w:pPr>
      <w:rPr>
        <w:rFonts w:ascii="Wingdings" w:hAnsi="Wingdings" w:hint="default"/>
      </w:rPr>
    </w:lvl>
    <w:lvl w:ilvl="6" w:tplc="A3903744" w:tentative="1">
      <w:start w:val="1"/>
      <w:numFmt w:val="bullet"/>
      <w:lvlText w:val=""/>
      <w:lvlJc w:val="left"/>
      <w:pPr>
        <w:ind w:left="4680" w:hanging="360"/>
      </w:pPr>
      <w:rPr>
        <w:rFonts w:ascii="Symbol" w:hAnsi="Symbol" w:hint="default"/>
      </w:rPr>
    </w:lvl>
    <w:lvl w:ilvl="7" w:tplc="9176DF10" w:tentative="1">
      <w:start w:val="1"/>
      <w:numFmt w:val="bullet"/>
      <w:lvlText w:val="o"/>
      <w:lvlJc w:val="left"/>
      <w:pPr>
        <w:ind w:left="5400" w:hanging="360"/>
      </w:pPr>
      <w:rPr>
        <w:rFonts w:ascii="Courier New" w:hAnsi="Courier New" w:cs="Courier New" w:hint="default"/>
      </w:rPr>
    </w:lvl>
    <w:lvl w:ilvl="8" w:tplc="1FF45D3A" w:tentative="1">
      <w:start w:val="1"/>
      <w:numFmt w:val="bullet"/>
      <w:lvlText w:val=""/>
      <w:lvlJc w:val="left"/>
      <w:pPr>
        <w:ind w:left="6120" w:hanging="360"/>
      </w:pPr>
      <w:rPr>
        <w:rFonts w:ascii="Wingdings" w:hAnsi="Wingdings" w:hint="default"/>
      </w:rPr>
    </w:lvl>
  </w:abstractNum>
  <w:abstractNum w:abstractNumId="4" w15:restartNumberingAfterBreak="0">
    <w:nsid w:val="31A40B14"/>
    <w:multiLevelType w:val="hybridMultilevel"/>
    <w:tmpl w:val="6C64BB4C"/>
    <w:lvl w:ilvl="0" w:tplc="A8B83364">
      <w:start w:val="1"/>
      <w:numFmt w:val="bullet"/>
      <w:lvlText w:val=""/>
      <w:lvlJc w:val="left"/>
      <w:pPr>
        <w:ind w:left="720" w:hanging="360"/>
      </w:pPr>
      <w:rPr>
        <w:rFonts w:ascii="Symbol" w:hAnsi="Symbol" w:hint="default"/>
      </w:rPr>
    </w:lvl>
    <w:lvl w:ilvl="1" w:tplc="C990113A">
      <w:start w:val="1"/>
      <w:numFmt w:val="bullet"/>
      <w:lvlText w:val="o"/>
      <w:lvlJc w:val="left"/>
      <w:pPr>
        <w:ind w:left="1440" w:hanging="360"/>
      </w:pPr>
      <w:rPr>
        <w:rFonts w:ascii="Courier New" w:hAnsi="Courier New" w:cs="Courier New" w:hint="default"/>
      </w:rPr>
    </w:lvl>
    <w:lvl w:ilvl="2" w:tplc="5D34082A">
      <w:start w:val="1"/>
      <w:numFmt w:val="bullet"/>
      <w:lvlText w:val=""/>
      <w:lvlJc w:val="left"/>
      <w:pPr>
        <w:ind w:left="2160" w:hanging="360"/>
      </w:pPr>
      <w:rPr>
        <w:rFonts w:ascii="Wingdings" w:hAnsi="Wingdings" w:hint="default"/>
      </w:rPr>
    </w:lvl>
    <w:lvl w:ilvl="3" w:tplc="84FAE5A4">
      <w:start w:val="1"/>
      <w:numFmt w:val="bullet"/>
      <w:lvlText w:val=""/>
      <w:lvlJc w:val="left"/>
      <w:pPr>
        <w:ind w:left="2880" w:hanging="360"/>
      </w:pPr>
      <w:rPr>
        <w:rFonts w:ascii="Symbol" w:hAnsi="Symbol" w:hint="default"/>
      </w:rPr>
    </w:lvl>
    <w:lvl w:ilvl="4" w:tplc="54B4F54C">
      <w:start w:val="1"/>
      <w:numFmt w:val="bullet"/>
      <w:lvlText w:val="o"/>
      <w:lvlJc w:val="left"/>
      <w:pPr>
        <w:ind w:left="3600" w:hanging="360"/>
      </w:pPr>
      <w:rPr>
        <w:rFonts w:ascii="Courier New" w:hAnsi="Courier New" w:cs="Courier New" w:hint="default"/>
      </w:rPr>
    </w:lvl>
    <w:lvl w:ilvl="5" w:tplc="201AD2D4">
      <w:start w:val="1"/>
      <w:numFmt w:val="bullet"/>
      <w:lvlText w:val=""/>
      <w:lvlJc w:val="left"/>
      <w:pPr>
        <w:ind w:left="4320" w:hanging="360"/>
      </w:pPr>
      <w:rPr>
        <w:rFonts w:ascii="Wingdings" w:hAnsi="Wingdings" w:hint="default"/>
      </w:rPr>
    </w:lvl>
    <w:lvl w:ilvl="6" w:tplc="D0BC65EE">
      <w:start w:val="1"/>
      <w:numFmt w:val="bullet"/>
      <w:lvlText w:val=""/>
      <w:lvlJc w:val="left"/>
      <w:pPr>
        <w:ind w:left="5040" w:hanging="360"/>
      </w:pPr>
      <w:rPr>
        <w:rFonts w:ascii="Symbol" w:hAnsi="Symbol" w:hint="default"/>
      </w:rPr>
    </w:lvl>
    <w:lvl w:ilvl="7" w:tplc="D4CE7F14">
      <w:start w:val="1"/>
      <w:numFmt w:val="bullet"/>
      <w:lvlText w:val="o"/>
      <w:lvlJc w:val="left"/>
      <w:pPr>
        <w:ind w:left="5760" w:hanging="360"/>
      </w:pPr>
      <w:rPr>
        <w:rFonts w:ascii="Courier New" w:hAnsi="Courier New" w:cs="Courier New" w:hint="default"/>
      </w:rPr>
    </w:lvl>
    <w:lvl w:ilvl="8" w:tplc="827085C8">
      <w:start w:val="1"/>
      <w:numFmt w:val="bullet"/>
      <w:lvlText w:val=""/>
      <w:lvlJc w:val="left"/>
      <w:pPr>
        <w:ind w:left="6480" w:hanging="360"/>
      </w:pPr>
      <w:rPr>
        <w:rFonts w:ascii="Wingdings" w:hAnsi="Wingdings" w:hint="default"/>
      </w:rPr>
    </w:lvl>
  </w:abstractNum>
  <w:abstractNum w:abstractNumId="5" w15:restartNumberingAfterBreak="0">
    <w:nsid w:val="3AD81F64"/>
    <w:multiLevelType w:val="hybridMultilevel"/>
    <w:tmpl w:val="3446D9CA"/>
    <w:lvl w:ilvl="0" w:tplc="9100437C">
      <w:start w:val="73"/>
      <w:numFmt w:val="bullet"/>
      <w:lvlText w:val="-"/>
      <w:lvlJc w:val="left"/>
      <w:pPr>
        <w:ind w:left="420" w:hanging="360"/>
      </w:pPr>
      <w:rPr>
        <w:rFonts w:ascii="Arial" w:eastAsia="Calibri" w:hAnsi="Arial" w:cs="Arial" w:hint="default"/>
      </w:rPr>
    </w:lvl>
    <w:lvl w:ilvl="1" w:tplc="7B4CA8D8" w:tentative="1">
      <w:start w:val="1"/>
      <w:numFmt w:val="bullet"/>
      <w:lvlText w:val="o"/>
      <w:lvlJc w:val="left"/>
      <w:pPr>
        <w:ind w:left="1140" w:hanging="360"/>
      </w:pPr>
      <w:rPr>
        <w:rFonts w:ascii="Courier New" w:hAnsi="Courier New" w:cs="Courier New" w:hint="default"/>
      </w:rPr>
    </w:lvl>
    <w:lvl w:ilvl="2" w:tplc="E8B8861E" w:tentative="1">
      <w:start w:val="1"/>
      <w:numFmt w:val="bullet"/>
      <w:lvlText w:val=""/>
      <w:lvlJc w:val="left"/>
      <w:pPr>
        <w:ind w:left="1860" w:hanging="360"/>
      </w:pPr>
      <w:rPr>
        <w:rFonts w:ascii="Wingdings" w:hAnsi="Wingdings" w:hint="default"/>
      </w:rPr>
    </w:lvl>
    <w:lvl w:ilvl="3" w:tplc="C8B0B89C" w:tentative="1">
      <w:start w:val="1"/>
      <w:numFmt w:val="bullet"/>
      <w:lvlText w:val=""/>
      <w:lvlJc w:val="left"/>
      <w:pPr>
        <w:ind w:left="2580" w:hanging="360"/>
      </w:pPr>
      <w:rPr>
        <w:rFonts w:ascii="Symbol" w:hAnsi="Symbol" w:hint="default"/>
      </w:rPr>
    </w:lvl>
    <w:lvl w:ilvl="4" w:tplc="E5B62D76" w:tentative="1">
      <w:start w:val="1"/>
      <w:numFmt w:val="bullet"/>
      <w:lvlText w:val="o"/>
      <w:lvlJc w:val="left"/>
      <w:pPr>
        <w:ind w:left="3300" w:hanging="360"/>
      </w:pPr>
      <w:rPr>
        <w:rFonts w:ascii="Courier New" w:hAnsi="Courier New" w:cs="Courier New" w:hint="default"/>
      </w:rPr>
    </w:lvl>
    <w:lvl w:ilvl="5" w:tplc="98208638" w:tentative="1">
      <w:start w:val="1"/>
      <w:numFmt w:val="bullet"/>
      <w:lvlText w:val=""/>
      <w:lvlJc w:val="left"/>
      <w:pPr>
        <w:ind w:left="4020" w:hanging="360"/>
      </w:pPr>
      <w:rPr>
        <w:rFonts w:ascii="Wingdings" w:hAnsi="Wingdings" w:hint="default"/>
      </w:rPr>
    </w:lvl>
    <w:lvl w:ilvl="6" w:tplc="B450EADE" w:tentative="1">
      <w:start w:val="1"/>
      <w:numFmt w:val="bullet"/>
      <w:lvlText w:val=""/>
      <w:lvlJc w:val="left"/>
      <w:pPr>
        <w:ind w:left="4740" w:hanging="360"/>
      </w:pPr>
      <w:rPr>
        <w:rFonts w:ascii="Symbol" w:hAnsi="Symbol" w:hint="default"/>
      </w:rPr>
    </w:lvl>
    <w:lvl w:ilvl="7" w:tplc="D5EE9B26" w:tentative="1">
      <w:start w:val="1"/>
      <w:numFmt w:val="bullet"/>
      <w:lvlText w:val="o"/>
      <w:lvlJc w:val="left"/>
      <w:pPr>
        <w:ind w:left="5460" w:hanging="360"/>
      </w:pPr>
      <w:rPr>
        <w:rFonts w:ascii="Courier New" w:hAnsi="Courier New" w:cs="Courier New" w:hint="default"/>
      </w:rPr>
    </w:lvl>
    <w:lvl w:ilvl="8" w:tplc="9F5617D8" w:tentative="1">
      <w:start w:val="1"/>
      <w:numFmt w:val="bullet"/>
      <w:lvlText w:val=""/>
      <w:lvlJc w:val="left"/>
      <w:pPr>
        <w:ind w:left="6180" w:hanging="360"/>
      </w:pPr>
      <w:rPr>
        <w:rFonts w:ascii="Wingdings" w:hAnsi="Wingdings" w:hint="default"/>
      </w:rPr>
    </w:lvl>
  </w:abstractNum>
  <w:abstractNum w:abstractNumId="6" w15:restartNumberingAfterBreak="0">
    <w:nsid w:val="3E063D81"/>
    <w:multiLevelType w:val="hybridMultilevel"/>
    <w:tmpl w:val="840C32A2"/>
    <w:lvl w:ilvl="0" w:tplc="A28AF26C">
      <w:start w:val="1"/>
      <w:numFmt w:val="bullet"/>
      <w:lvlText w:val=""/>
      <w:lvlJc w:val="left"/>
      <w:pPr>
        <w:ind w:left="780" w:hanging="360"/>
      </w:pPr>
      <w:rPr>
        <w:rFonts w:ascii="Symbol" w:hAnsi="Symbol" w:hint="default"/>
      </w:rPr>
    </w:lvl>
    <w:lvl w:ilvl="1" w:tplc="BD1A373A" w:tentative="1">
      <w:start w:val="1"/>
      <w:numFmt w:val="bullet"/>
      <w:lvlText w:val="o"/>
      <w:lvlJc w:val="left"/>
      <w:pPr>
        <w:ind w:left="1500" w:hanging="360"/>
      </w:pPr>
      <w:rPr>
        <w:rFonts w:ascii="Courier New" w:hAnsi="Courier New" w:cs="Courier New" w:hint="default"/>
      </w:rPr>
    </w:lvl>
    <w:lvl w:ilvl="2" w:tplc="02BC4260" w:tentative="1">
      <w:start w:val="1"/>
      <w:numFmt w:val="bullet"/>
      <w:lvlText w:val=""/>
      <w:lvlJc w:val="left"/>
      <w:pPr>
        <w:ind w:left="2220" w:hanging="360"/>
      </w:pPr>
      <w:rPr>
        <w:rFonts w:ascii="Wingdings" w:hAnsi="Wingdings" w:hint="default"/>
      </w:rPr>
    </w:lvl>
    <w:lvl w:ilvl="3" w:tplc="DAB4BC7A" w:tentative="1">
      <w:start w:val="1"/>
      <w:numFmt w:val="bullet"/>
      <w:lvlText w:val=""/>
      <w:lvlJc w:val="left"/>
      <w:pPr>
        <w:ind w:left="2940" w:hanging="360"/>
      </w:pPr>
      <w:rPr>
        <w:rFonts w:ascii="Symbol" w:hAnsi="Symbol" w:hint="default"/>
      </w:rPr>
    </w:lvl>
    <w:lvl w:ilvl="4" w:tplc="2092076A" w:tentative="1">
      <w:start w:val="1"/>
      <w:numFmt w:val="bullet"/>
      <w:lvlText w:val="o"/>
      <w:lvlJc w:val="left"/>
      <w:pPr>
        <w:ind w:left="3660" w:hanging="360"/>
      </w:pPr>
      <w:rPr>
        <w:rFonts w:ascii="Courier New" w:hAnsi="Courier New" w:cs="Courier New" w:hint="default"/>
      </w:rPr>
    </w:lvl>
    <w:lvl w:ilvl="5" w:tplc="B74C703C" w:tentative="1">
      <w:start w:val="1"/>
      <w:numFmt w:val="bullet"/>
      <w:lvlText w:val=""/>
      <w:lvlJc w:val="left"/>
      <w:pPr>
        <w:ind w:left="4380" w:hanging="360"/>
      </w:pPr>
      <w:rPr>
        <w:rFonts w:ascii="Wingdings" w:hAnsi="Wingdings" w:hint="default"/>
      </w:rPr>
    </w:lvl>
    <w:lvl w:ilvl="6" w:tplc="20F24676" w:tentative="1">
      <w:start w:val="1"/>
      <w:numFmt w:val="bullet"/>
      <w:lvlText w:val=""/>
      <w:lvlJc w:val="left"/>
      <w:pPr>
        <w:ind w:left="5100" w:hanging="360"/>
      </w:pPr>
      <w:rPr>
        <w:rFonts w:ascii="Symbol" w:hAnsi="Symbol" w:hint="default"/>
      </w:rPr>
    </w:lvl>
    <w:lvl w:ilvl="7" w:tplc="ADEA9388" w:tentative="1">
      <w:start w:val="1"/>
      <w:numFmt w:val="bullet"/>
      <w:lvlText w:val="o"/>
      <w:lvlJc w:val="left"/>
      <w:pPr>
        <w:ind w:left="5820" w:hanging="360"/>
      </w:pPr>
      <w:rPr>
        <w:rFonts w:ascii="Courier New" w:hAnsi="Courier New" w:cs="Courier New" w:hint="default"/>
      </w:rPr>
    </w:lvl>
    <w:lvl w:ilvl="8" w:tplc="47C25F28" w:tentative="1">
      <w:start w:val="1"/>
      <w:numFmt w:val="bullet"/>
      <w:lvlText w:val=""/>
      <w:lvlJc w:val="left"/>
      <w:pPr>
        <w:ind w:left="6540" w:hanging="360"/>
      </w:pPr>
      <w:rPr>
        <w:rFonts w:ascii="Wingdings" w:hAnsi="Wingdings" w:hint="default"/>
      </w:rPr>
    </w:lvl>
  </w:abstractNum>
  <w:abstractNum w:abstractNumId="7" w15:restartNumberingAfterBreak="0">
    <w:nsid w:val="3E447D35"/>
    <w:multiLevelType w:val="hybridMultilevel"/>
    <w:tmpl w:val="8072069C"/>
    <w:lvl w:ilvl="0" w:tplc="071AD840">
      <w:start w:val="1"/>
      <w:numFmt w:val="bullet"/>
      <w:lvlText w:val="·"/>
      <w:lvlJc w:val="left"/>
      <w:pPr>
        <w:ind w:left="720" w:hanging="360"/>
      </w:pPr>
      <w:rPr>
        <w:rFonts w:ascii="Symbol" w:hAnsi="Symbol" w:hint="default"/>
      </w:rPr>
    </w:lvl>
    <w:lvl w:ilvl="1" w:tplc="9F60D34C">
      <w:start w:val="1"/>
      <w:numFmt w:val="bullet"/>
      <w:lvlText w:val="o"/>
      <w:lvlJc w:val="left"/>
      <w:pPr>
        <w:ind w:left="1440" w:hanging="360"/>
      </w:pPr>
      <w:rPr>
        <w:rFonts w:ascii="Courier New" w:hAnsi="Courier New" w:hint="default"/>
      </w:rPr>
    </w:lvl>
    <w:lvl w:ilvl="2" w:tplc="C0063262">
      <w:start w:val="1"/>
      <w:numFmt w:val="bullet"/>
      <w:lvlText w:val=""/>
      <w:lvlJc w:val="left"/>
      <w:pPr>
        <w:ind w:left="2160" w:hanging="360"/>
      </w:pPr>
      <w:rPr>
        <w:rFonts w:ascii="Wingdings" w:hAnsi="Wingdings" w:hint="default"/>
      </w:rPr>
    </w:lvl>
    <w:lvl w:ilvl="3" w:tplc="5AFAA9BA">
      <w:start w:val="1"/>
      <w:numFmt w:val="bullet"/>
      <w:lvlText w:val=""/>
      <w:lvlJc w:val="left"/>
      <w:pPr>
        <w:ind w:left="2880" w:hanging="360"/>
      </w:pPr>
      <w:rPr>
        <w:rFonts w:ascii="Symbol" w:hAnsi="Symbol" w:hint="default"/>
      </w:rPr>
    </w:lvl>
    <w:lvl w:ilvl="4" w:tplc="BB202ADC">
      <w:start w:val="1"/>
      <w:numFmt w:val="bullet"/>
      <w:lvlText w:val="o"/>
      <w:lvlJc w:val="left"/>
      <w:pPr>
        <w:ind w:left="3600" w:hanging="360"/>
      </w:pPr>
      <w:rPr>
        <w:rFonts w:ascii="Courier New" w:hAnsi="Courier New" w:hint="default"/>
      </w:rPr>
    </w:lvl>
    <w:lvl w:ilvl="5" w:tplc="93FA8112">
      <w:start w:val="1"/>
      <w:numFmt w:val="bullet"/>
      <w:lvlText w:val=""/>
      <w:lvlJc w:val="left"/>
      <w:pPr>
        <w:ind w:left="4320" w:hanging="360"/>
      </w:pPr>
      <w:rPr>
        <w:rFonts w:ascii="Wingdings" w:hAnsi="Wingdings" w:hint="default"/>
      </w:rPr>
    </w:lvl>
    <w:lvl w:ilvl="6" w:tplc="38DE03DC">
      <w:start w:val="1"/>
      <w:numFmt w:val="bullet"/>
      <w:lvlText w:val=""/>
      <w:lvlJc w:val="left"/>
      <w:pPr>
        <w:ind w:left="5040" w:hanging="360"/>
      </w:pPr>
      <w:rPr>
        <w:rFonts w:ascii="Symbol" w:hAnsi="Symbol" w:hint="default"/>
      </w:rPr>
    </w:lvl>
    <w:lvl w:ilvl="7" w:tplc="8C3AF560">
      <w:start w:val="1"/>
      <w:numFmt w:val="bullet"/>
      <w:lvlText w:val="o"/>
      <w:lvlJc w:val="left"/>
      <w:pPr>
        <w:ind w:left="5760" w:hanging="360"/>
      </w:pPr>
      <w:rPr>
        <w:rFonts w:ascii="Courier New" w:hAnsi="Courier New" w:hint="default"/>
      </w:rPr>
    </w:lvl>
    <w:lvl w:ilvl="8" w:tplc="1792A296">
      <w:start w:val="1"/>
      <w:numFmt w:val="bullet"/>
      <w:lvlText w:val=""/>
      <w:lvlJc w:val="left"/>
      <w:pPr>
        <w:ind w:left="6480" w:hanging="360"/>
      </w:pPr>
      <w:rPr>
        <w:rFonts w:ascii="Wingdings" w:hAnsi="Wingdings" w:hint="default"/>
      </w:rPr>
    </w:lvl>
  </w:abstractNum>
  <w:abstractNum w:abstractNumId="8" w15:restartNumberingAfterBreak="0">
    <w:nsid w:val="4D2E20FD"/>
    <w:multiLevelType w:val="hybridMultilevel"/>
    <w:tmpl w:val="13B43000"/>
    <w:lvl w:ilvl="0" w:tplc="FDB244DC">
      <w:numFmt w:val="bullet"/>
      <w:lvlText w:val="-"/>
      <w:lvlJc w:val="left"/>
      <w:pPr>
        <w:ind w:left="420" w:hanging="360"/>
      </w:pPr>
      <w:rPr>
        <w:rFonts w:ascii="Arial" w:eastAsia="Calibri" w:hAnsi="Arial" w:cs="Arial" w:hint="default"/>
      </w:rPr>
    </w:lvl>
    <w:lvl w:ilvl="1" w:tplc="F92CAFA2" w:tentative="1">
      <w:start w:val="1"/>
      <w:numFmt w:val="bullet"/>
      <w:lvlText w:val="o"/>
      <w:lvlJc w:val="left"/>
      <w:pPr>
        <w:ind w:left="1140" w:hanging="360"/>
      </w:pPr>
      <w:rPr>
        <w:rFonts w:ascii="Courier New" w:hAnsi="Courier New" w:cs="Courier New" w:hint="default"/>
      </w:rPr>
    </w:lvl>
    <w:lvl w:ilvl="2" w:tplc="4D16ABB4" w:tentative="1">
      <w:start w:val="1"/>
      <w:numFmt w:val="bullet"/>
      <w:lvlText w:val=""/>
      <w:lvlJc w:val="left"/>
      <w:pPr>
        <w:ind w:left="1860" w:hanging="360"/>
      </w:pPr>
      <w:rPr>
        <w:rFonts w:ascii="Wingdings" w:hAnsi="Wingdings" w:hint="default"/>
      </w:rPr>
    </w:lvl>
    <w:lvl w:ilvl="3" w:tplc="A35684FE" w:tentative="1">
      <w:start w:val="1"/>
      <w:numFmt w:val="bullet"/>
      <w:lvlText w:val=""/>
      <w:lvlJc w:val="left"/>
      <w:pPr>
        <w:ind w:left="2580" w:hanging="360"/>
      </w:pPr>
      <w:rPr>
        <w:rFonts w:ascii="Symbol" w:hAnsi="Symbol" w:hint="default"/>
      </w:rPr>
    </w:lvl>
    <w:lvl w:ilvl="4" w:tplc="A36CCD9A" w:tentative="1">
      <w:start w:val="1"/>
      <w:numFmt w:val="bullet"/>
      <w:lvlText w:val="o"/>
      <w:lvlJc w:val="left"/>
      <w:pPr>
        <w:ind w:left="3300" w:hanging="360"/>
      </w:pPr>
      <w:rPr>
        <w:rFonts w:ascii="Courier New" w:hAnsi="Courier New" w:cs="Courier New" w:hint="default"/>
      </w:rPr>
    </w:lvl>
    <w:lvl w:ilvl="5" w:tplc="4AF2ACE4" w:tentative="1">
      <w:start w:val="1"/>
      <w:numFmt w:val="bullet"/>
      <w:lvlText w:val=""/>
      <w:lvlJc w:val="left"/>
      <w:pPr>
        <w:ind w:left="4020" w:hanging="360"/>
      </w:pPr>
      <w:rPr>
        <w:rFonts w:ascii="Wingdings" w:hAnsi="Wingdings" w:hint="default"/>
      </w:rPr>
    </w:lvl>
    <w:lvl w:ilvl="6" w:tplc="1E843174" w:tentative="1">
      <w:start w:val="1"/>
      <w:numFmt w:val="bullet"/>
      <w:lvlText w:val=""/>
      <w:lvlJc w:val="left"/>
      <w:pPr>
        <w:ind w:left="4740" w:hanging="360"/>
      </w:pPr>
      <w:rPr>
        <w:rFonts w:ascii="Symbol" w:hAnsi="Symbol" w:hint="default"/>
      </w:rPr>
    </w:lvl>
    <w:lvl w:ilvl="7" w:tplc="966AF25C" w:tentative="1">
      <w:start w:val="1"/>
      <w:numFmt w:val="bullet"/>
      <w:lvlText w:val="o"/>
      <w:lvlJc w:val="left"/>
      <w:pPr>
        <w:ind w:left="5460" w:hanging="360"/>
      </w:pPr>
      <w:rPr>
        <w:rFonts w:ascii="Courier New" w:hAnsi="Courier New" w:cs="Courier New" w:hint="default"/>
      </w:rPr>
    </w:lvl>
    <w:lvl w:ilvl="8" w:tplc="53B83D6C" w:tentative="1">
      <w:start w:val="1"/>
      <w:numFmt w:val="bullet"/>
      <w:lvlText w:val=""/>
      <w:lvlJc w:val="left"/>
      <w:pPr>
        <w:ind w:left="6180" w:hanging="360"/>
      </w:pPr>
      <w:rPr>
        <w:rFonts w:ascii="Wingdings" w:hAnsi="Wingdings" w:hint="default"/>
      </w:rPr>
    </w:lvl>
  </w:abstractNum>
  <w:abstractNum w:abstractNumId="9" w15:restartNumberingAfterBreak="0">
    <w:nsid w:val="68863B9F"/>
    <w:multiLevelType w:val="hybridMultilevel"/>
    <w:tmpl w:val="FE385B16"/>
    <w:lvl w:ilvl="0" w:tplc="34621850">
      <w:numFmt w:val="bullet"/>
      <w:lvlText w:val="-"/>
      <w:lvlJc w:val="left"/>
      <w:pPr>
        <w:ind w:left="720" w:hanging="360"/>
      </w:pPr>
      <w:rPr>
        <w:rFonts w:ascii="Calibri" w:eastAsia="Calibri" w:hAnsi="Calibri" w:cs="Calibri" w:hint="default"/>
      </w:rPr>
    </w:lvl>
    <w:lvl w:ilvl="1" w:tplc="29BA0D22">
      <w:start w:val="1"/>
      <w:numFmt w:val="bullet"/>
      <w:lvlText w:val="o"/>
      <w:lvlJc w:val="left"/>
      <w:pPr>
        <w:ind w:left="1440" w:hanging="360"/>
      </w:pPr>
      <w:rPr>
        <w:rFonts w:ascii="Courier New" w:hAnsi="Courier New" w:cs="Courier New" w:hint="default"/>
      </w:rPr>
    </w:lvl>
    <w:lvl w:ilvl="2" w:tplc="0B7283C0">
      <w:start w:val="1"/>
      <w:numFmt w:val="bullet"/>
      <w:lvlText w:val=""/>
      <w:lvlJc w:val="left"/>
      <w:pPr>
        <w:ind w:left="2160" w:hanging="360"/>
      </w:pPr>
      <w:rPr>
        <w:rFonts w:ascii="Wingdings" w:hAnsi="Wingdings" w:hint="default"/>
      </w:rPr>
    </w:lvl>
    <w:lvl w:ilvl="3" w:tplc="C9D45ED0">
      <w:start w:val="1"/>
      <w:numFmt w:val="bullet"/>
      <w:lvlText w:val=""/>
      <w:lvlJc w:val="left"/>
      <w:pPr>
        <w:ind w:left="2880" w:hanging="360"/>
      </w:pPr>
      <w:rPr>
        <w:rFonts w:ascii="Symbol" w:hAnsi="Symbol" w:hint="default"/>
      </w:rPr>
    </w:lvl>
    <w:lvl w:ilvl="4" w:tplc="C362416E">
      <w:start w:val="1"/>
      <w:numFmt w:val="bullet"/>
      <w:lvlText w:val="o"/>
      <w:lvlJc w:val="left"/>
      <w:pPr>
        <w:ind w:left="3600" w:hanging="360"/>
      </w:pPr>
      <w:rPr>
        <w:rFonts w:ascii="Courier New" w:hAnsi="Courier New" w:cs="Courier New" w:hint="default"/>
      </w:rPr>
    </w:lvl>
    <w:lvl w:ilvl="5" w:tplc="9B4E7F56">
      <w:start w:val="1"/>
      <w:numFmt w:val="bullet"/>
      <w:lvlText w:val=""/>
      <w:lvlJc w:val="left"/>
      <w:pPr>
        <w:ind w:left="4320" w:hanging="360"/>
      </w:pPr>
      <w:rPr>
        <w:rFonts w:ascii="Wingdings" w:hAnsi="Wingdings" w:hint="default"/>
      </w:rPr>
    </w:lvl>
    <w:lvl w:ilvl="6" w:tplc="696263B0">
      <w:start w:val="1"/>
      <w:numFmt w:val="bullet"/>
      <w:lvlText w:val=""/>
      <w:lvlJc w:val="left"/>
      <w:pPr>
        <w:ind w:left="5040" w:hanging="360"/>
      </w:pPr>
      <w:rPr>
        <w:rFonts w:ascii="Symbol" w:hAnsi="Symbol" w:hint="default"/>
      </w:rPr>
    </w:lvl>
    <w:lvl w:ilvl="7" w:tplc="BCD6DCCA">
      <w:start w:val="1"/>
      <w:numFmt w:val="bullet"/>
      <w:lvlText w:val="o"/>
      <w:lvlJc w:val="left"/>
      <w:pPr>
        <w:ind w:left="5760" w:hanging="360"/>
      </w:pPr>
      <w:rPr>
        <w:rFonts w:ascii="Courier New" w:hAnsi="Courier New" w:cs="Courier New" w:hint="default"/>
      </w:rPr>
    </w:lvl>
    <w:lvl w:ilvl="8" w:tplc="D74AECA6">
      <w:start w:val="1"/>
      <w:numFmt w:val="bullet"/>
      <w:lvlText w:val=""/>
      <w:lvlJc w:val="left"/>
      <w:pPr>
        <w:ind w:left="6480" w:hanging="360"/>
      </w:pPr>
      <w:rPr>
        <w:rFonts w:ascii="Wingdings" w:hAnsi="Wingdings" w:hint="default"/>
      </w:rPr>
    </w:lvl>
  </w:abstractNum>
  <w:abstractNum w:abstractNumId="10" w15:restartNumberingAfterBreak="0">
    <w:nsid w:val="70C92D73"/>
    <w:multiLevelType w:val="hybridMultilevel"/>
    <w:tmpl w:val="840EAAD4"/>
    <w:lvl w:ilvl="0" w:tplc="30D48CB8">
      <w:start w:val="1"/>
      <w:numFmt w:val="bullet"/>
      <w:lvlText w:val=""/>
      <w:lvlJc w:val="left"/>
      <w:pPr>
        <w:ind w:left="720" w:hanging="360"/>
      </w:pPr>
      <w:rPr>
        <w:rFonts w:ascii="Symbol" w:hAnsi="Symbol" w:hint="default"/>
      </w:rPr>
    </w:lvl>
    <w:lvl w:ilvl="1" w:tplc="E36C4BB0">
      <w:start w:val="1"/>
      <w:numFmt w:val="bullet"/>
      <w:lvlText w:val="o"/>
      <w:lvlJc w:val="left"/>
      <w:pPr>
        <w:ind w:left="1440" w:hanging="360"/>
      </w:pPr>
      <w:rPr>
        <w:rFonts w:ascii="Courier New" w:hAnsi="Courier New" w:cs="Courier New" w:hint="default"/>
      </w:rPr>
    </w:lvl>
    <w:lvl w:ilvl="2" w:tplc="0A9E9C40">
      <w:start w:val="1"/>
      <w:numFmt w:val="bullet"/>
      <w:lvlText w:val=""/>
      <w:lvlJc w:val="left"/>
      <w:pPr>
        <w:ind w:left="2160" w:hanging="360"/>
      </w:pPr>
      <w:rPr>
        <w:rFonts w:ascii="Wingdings" w:hAnsi="Wingdings" w:hint="default"/>
      </w:rPr>
    </w:lvl>
    <w:lvl w:ilvl="3" w:tplc="D75682FE">
      <w:start w:val="1"/>
      <w:numFmt w:val="bullet"/>
      <w:lvlText w:val=""/>
      <w:lvlJc w:val="left"/>
      <w:pPr>
        <w:ind w:left="2880" w:hanging="360"/>
      </w:pPr>
      <w:rPr>
        <w:rFonts w:ascii="Symbol" w:hAnsi="Symbol" w:hint="default"/>
      </w:rPr>
    </w:lvl>
    <w:lvl w:ilvl="4" w:tplc="C31C83AE">
      <w:start w:val="1"/>
      <w:numFmt w:val="bullet"/>
      <w:lvlText w:val="o"/>
      <w:lvlJc w:val="left"/>
      <w:pPr>
        <w:ind w:left="3600" w:hanging="360"/>
      </w:pPr>
      <w:rPr>
        <w:rFonts w:ascii="Courier New" w:hAnsi="Courier New" w:cs="Courier New" w:hint="default"/>
      </w:rPr>
    </w:lvl>
    <w:lvl w:ilvl="5" w:tplc="3662CF64">
      <w:start w:val="1"/>
      <w:numFmt w:val="bullet"/>
      <w:lvlText w:val=""/>
      <w:lvlJc w:val="left"/>
      <w:pPr>
        <w:ind w:left="4320" w:hanging="360"/>
      </w:pPr>
      <w:rPr>
        <w:rFonts w:ascii="Wingdings" w:hAnsi="Wingdings" w:hint="default"/>
      </w:rPr>
    </w:lvl>
    <w:lvl w:ilvl="6" w:tplc="A8266660">
      <w:start w:val="1"/>
      <w:numFmt w:val="bullet"/>
      <w:lvlText w:val=""/>
      <w:lvlJc w:val="left"/>
      <w:pPr>
        <w:ind w:left="5040" w:hanging="360"/>
      </w:pPr>
      <w:rPr>
        <w:rFonts w:ascii="Symbol" w:hAnsi="Symbol" w:hint="default"/>
      </w:rPr>
    </w:lvl>
    <w:lvl w:ilvl="7" w:tplc="EFAE97C4">
      <w:start w:val="1"/>
      <w:numFmt w:val="bullet"/>
      <w:lvlText w:val="o"/>
      <w:lvlJc w:val="left"/>
      <w:pPr>
        <w:ind w:left="5760" w:hanging="360"/>
      </w:pPr>
      <w:rPr>
        <w:rFonts w:ascii="Courier New" w:hAnsi="Courier New" w:cs="Courier New" w:hint="default"/>
      </w:rPr>
    </w:lvl>
    <w:lvl w:ilvl="8" w:tplc="E1529E20">
      <w:start w:val="1"/>
      <w:numFmt w:val="bullet"/>
      <w:lvlText w:val=""/>
      <w:lvlJc w:val="left"/>
      <w:pPr>
        <w:ind w:left="6480" w:hanging="360"/>
      </w:pPr>
      <w:rPr>
        <w:rFonts w:ascii="Wingdings" w:hAnsi="Wingdings" w:hint="default"/>
      </w:rPr>
    </w:lvl>
  </w:abstractNum>
  <w:abstractNum w:abstractNumId="11" w15:restartNumberingAfterBreak="0">
    <w:nsid w:val="714A63AA"/>
    <w:multiLevelType w:val="hybridMultilevel"/>
    <w:tmpl w:val="8C7E2002"/>
    <w:lvl w:ilvl="0" w:tplc="2AD20944">
      <w:start w:val="1"/>
      <w:numFmt w:val="bullet"/>
      <w:lvlText w:val=""/>
      <w:lvlJc w:val="left"/>
      <w:pPr>
        <w:ind w:left="720" w:hanging="360"/>
      </w:pPr>
      <w:rPr>
        <w:rFonts w:ascii="Symbol" w:hAnsi="Symbol" w:hint="default"/>
      </w:rPr>
    </w:lvl>
    <w:lvl w:ilvl="1" w:tplc="F40AD9C0">
      <w:start w:val="1"/>
      <w:numFmt w:val="bullet"/>
      <w:lvlText w:val="o"/>
      <w:lvlJc w:val="left"/>
      <w:pPr>
        <w:ind w:left="1440" w:hanging="360"/>
      </w:pPr>
      <w:rPr>
        <w:rFonts w:ascii="Courier New" w:hAnsi="Courier New" w:cs="Courier New" w:hint="default"/>
      </w:rPr>
    </w:lvl>
    <w:lvl w:ilvl="2" w:tplc="21D08F30">
      <w:start w:val="1"/>
      <w:numFmt w:val="bullet"/>
      <w:lvlText w:val=""/>
      <w:lvlJc w:val="left"/>
      <w:pPr>
        <w:ind w:left="2160" w:hanging="360"/>
      </w:pPr>
      <w:rPr>
        <w:rFonts w:ascii="Wingdings" w:hAnsi="Wingdings" w:hint="default"/>
      </w:rPr>
    </w:lvl>
    <w:lvl w:ilvl="3" w:tplc="D010B6EE">
      <w:start w:val="1"/>
      <w:numFmt w:val="bullet"/>
      <w:lvlText w:val=""/>
      <w:lvlJc w:val="left"/>
      <w:pPr>
        <w:ind w:left="2880" w:hanging="360"/>
      </w:pPr>
      <w:rPr>
        <w:rFonts w:ascii="Symbol" w:hAnsi="Symbol" w:hint="default"/>
      </w:rPr>
    </w:lvl>
    <w:lvl w:ilvl="4" w:tplc="48728D9C">
      <w:start w:val="1"/>
      <w:numFmt w:val="bullet"/>
      <w:lvlText w:val="o"/>
      <w:lvlJc w:val="left"/>
      <w:pPr>
        <w:ind w:left="3600" w:hanging="360"/>
      </w:pPr>
      <w:rPr>
        <w:rFonts w:ascii="Courier New" w:hAnsi="Courier New" w:cs="Courier New" w:hint="default"/>
      </w:rPr>
    </w:lvl>
    <w:lvl w:ilvl="5" w:tplc="02A6DB72">
      <w:start w:val="1"/>
      <w:numFmt w:val="bullet"/>
      <w:lvlText w:val=""/>
      <w:lvlJc w:val="left"/>
      <w:pPr>
        <w:ind w:left="4320" w:hanging="360"/>
      </w:pPr>
      <w:rPr>
        <w:rFonts w:ascii="Wingdings" w:hAnsi="Wingdings" w:hint="default"/>
      </w:rPr>
    </w:lvl>
    <w:lvl w:ilvl="6" w:tplc="653644A4">
      <w:start w:val="1"/>
      <w:numFmt w:val="bullet"/>
      <w:lvlText w:val=""/>
      <w:lvlJc w:val="left"/>
      <w:pPr>
        <w:ind w:left="5040" w:hanging="360"/>
      </w:pPr>
      <w:rPr>
        <w:rFonts w:ascii="Symbol" w:hAnsi="Symbol" w:hint="default"/>
      </w:rPr>
    </w:lvl>
    <w:lvl w:ilvl="7" w:tplc="99B07D7A">
      <w:start w:val="1"/>
      <w:numFmt w:val="bullet"/>
      <w:lvlText w:val="o"/>
      <w:lvlJc w:val="left"/>
      <w:pPr>
        <w:ind w:left="5760" w:hanging="360"/>
      </w:pPr>
      <w:rPr>
        <w:rFonts w:ascii="Courier New" w:hAnsi="Courier New" w:cs="Courier New" w:hint="default"/>
      </w:rPr>
    </w:lvl>
    <w:lvl w:ilvl="8" w:tplc="55E6D59E">
      <w:start w:val="1"/>
      <w:numFmt w:val="bullet"/>
      <w:lvlText w:val=""/>
      <w:lvlJc w:val="left"/>
      <w:pPr>
        <w:ind w:left="6480" w:hanging="360"/>
      </w:pPr>
      <w:rPr>
        <w:rFonts w:ascii="Wingdings" w:hAnsi="Wingdings" w:hint="default"/>
      </w:rPr>
    </w:lvl>
  </w:abstractNum>
  <w:abstractNum w:abstractNumId="12" w15:restartNumberingAfterBreak="0">
    <w:nsid w:val="77D33B3A"/>
    <w:multiLevelType w:val="hybridMultilevel"/>
    <w:tmpl w:val="4BA8D63C"/>
    <w:lvl w:ilvl="0" w:tplc="0D280AE0">
      <w:numFmt w:val="bullet"/>
      <w:lvlText w:val="-"/>
      <w:lvlJc w:val="left"/>
      <w:pPr>
        <w:ind w:left="720" w:hanging="360"/>
      </w:pPr>
      <w:rPr>
        <w:rFonts w:ascii="Calibri" w:eastAsia="Calibri" w:hAnsi="Calibri" w:cs="Calibri" w:hint="default"/>
      </w:rPr>
    </w:lvl>
    <w:lvl w:ilvl="1" w:tplc="75188598">
      <w:start w:val="1"/>
      <w:numFmt w:val="bullet"/>
      <w:lvlText w:val="o"/>
      <w:lvlJc w:val="left"/>
      <w:pPr>
        <w:ind w:left="1440" w:hanging="360"/>
      </w:pPr>
      <w:rPr>
        <w:rFonts w:ascii="Courier New" w:hAnsi="Courier New" w:cs="Courier New" w:hint="default"/>
      </w:rPr>
    </w:lvl>
    <w:lvl w:ilvl="2" w:tplc="AC26AECE">
      <w:start w:val="1"/>
      <w:numFmt w:val="bullet"/>
      <w:lvlText w:val=""/>
      <w:lvlJc w:val="left"/>
      <w:pPr>
        <w:ind w:left="2160" w:hanging="360"/>
      </w:pPr>
      <w:rPr>
        <w:rFonts w:ascii="Wingdings" w:hAnsi="Wingdings" w:hint="default"/>
      </w:rPr>
    </w:lvl>
    <w:lvl w:ilvl="3" w:tplc="8C147396">
      <w:start w:val="1"/>
      <w:numFmt w:val="bullet"/>
      <w:lvlText w:val=""/>
      <w:lvlJc w:val="left"/>
      <w:pPr>
        <w:ind w:left="2880" w:hanging="360"/>
      </w:pPr>
      <w:rPr>
        <w:rFonts w:ascii="Symbol" w:hAnsi="Symbol" w:hint="default"/>
      </w:rPr>
    </w:lvl>
    <w:lvl w:ilvl="4" w:tplc="BEE4A3FA">
      <w:start w:val="1"/>
      <w:numFmt w:val="bullet"/>
      <w:lvlText w:val="o"/>
      <w:lvlJc w:val="left"/>
      <w:pPr>
        <w:ind w:left="3600" w:hanging="360"/>
      </w:pPr>
      <w:rPr>
        <w:rFonts w:ascii="Courier New" w:hAnsi="Courier New" w:cs="Courier New" w:hint="default"/>
      </w:rPr>
    </w:lvl>
    <w:lvl w:ilvl="5" w:tplc="51B88002">
      <w:start w:val="1"/>
      <w:numFmt w:val="bullet"/>
      <w:lvlText w:val=""/>
      <w:lvlJc w:val="left"/>
      <w:pPr>
        <w:ind w:left="4320" w:hanging="360"/>
      </w:pPr>
      <w:rPr>
        <w:rFonts w:ascii="Wingdings" w:hAnsi="Wingdings" w:hint="default"/>
      </w:rPr>
    </w:lvl>
    <w:lvl w:ilvl="6" w:tplc="5DA029EA">
      <w:start w:val="1"/>
      <w:numFmt w:val="bullet"/>
      <w:lvlText w:val=""/>
      <w:lvlJc w:val="left"/>
      <w:pPr>
        <w:ind w:left="5040" w:hanging="360"/>
      </w:pPr>
      <w:rPr>
        <w:rFonts w:ascii="Symbol" w:hAnsi="Symbol" w:hint="default"/>
      </w:rPr>
    </w:lvl>
    <w:lvl w:ilvl="7" w:tplc="826A7A64">
      <w:start w:val="1"/>
      <w:numFmt w:val="bullet"/>
      <w:lvlText w:val="o"/>
      <w:lvlJc w:val="left"/>
      <w:pPr>
        <w:ind w:left="5760" w:hanging="360"/>
      </w:pPr>
      <w:rPr>
        <w:rFonts w:ascii="Courier New" w:hAnsi="Courier New" w:cs="Courier New" w:hint="default"/>
      </w:rPr>
    </w:lvl>
    <w:lvl w:ilvl="8" w:tplc="AC860F1A">
      <w:start w:val="1"/>
      <w:numFmt w:val="bullet"/>
      <w:lvlText w:val=""/>
      <w:lvlJc w:val="left"/>
      <w:pPr>
        <w:ind w:left="6480" w:hanging="360"/>
      </w:pPr>
      <w:rPr>
        <w:rFonts w:ascii="Wingdings" w:hAnsi="Wingdings" w:hint="default"/>
      </w:rPr>
    </w:lvl>
  </w:abstractNum>
  <w:abstractNum w:abstractNumId="13" w15:restartNumberingAfterBreak="0">
    <w:nsid w:val="7A333C2A"/>
    <w:multiLevelType w:val="hybridMultilevel"/>
    <w:tmpl w:val="B4F0D032"/>
    <w:lvl w:ilvl="0" w:tplc="8F64906C">
      <w:numFmt w:val="bullet"/>
      <w:lvlText w:val=""/>
      <w:lvlJc w:val="left"/>
      <w:pPr>
        <w:ind w:left="720" w:hanging="360"/>
      </w:pPr>
      <w:rPr>
        <w:rFonts w:ascii="Symbol" w:eastAsia="Calibri" w:hAnsi="Symbol" w:cs="Arial" w:hint="default"/>
      </w:rPr>
    </w:lvl>
    <w:lvl w:ilvl="1" w:tplc="03BA5A34" w:tentative="1">
      <w:start w:val="1"/>
      <w:numFmt w:val="bullet"/>
      <w:lvlText w:val="o"/>
      <w:lvlJc w:val="left"/>
      <w:pPr>
        <w:ind w:left="1440" w:hanging="360"/>
      </w:pPr>
      <w:rPr>
        <w:rFonts w:ascii="Courier New" w:hAnsi="Courier New" w:cs="Courier New" w:hint="default"/>
      </w:rPr>
    </w:lvl>
    <w:lvl w:ilvl="2" w:tplc="F266BC72" w:tentative="1">
      <w:start w:val="1"/>
      <w:numFmt w:val="bullet"/>
      <w:lvlText w:val=""/>
      <w:lvlJc w:val="left"/>
      <w:pPr>
        <w:ind w:left="2160" w:hanging="360"/>
      </w:pPr>
      <w:rPr>
        <w:rFonts w:ascii="Wingdings" w:hAnsi="Wingdings" w:hint="default"/>
      </w:rPr>
    </w:lvl>
    <w:lvl w:ilvl="3" w:tplc="F96689BC" w:tentative="1">
      <w:start w:val="1"/>
      <w:numFmt w:val="bullet"/>
      <w:lvlText w:val=""/>
      <w:lvlJc w:val="left"/>
      <w:pPr>
        <w:ind w:left="2880" w:hanging="360"/>
      </w:pPr>
      <w:rPr>
        <w:rFonts w:ascii="Symbol" w:hAnsi="Symbol" w:hint="default"/>
      </w:rPr>
    </w:lvl>
    <w:lvl w:ilvl="4" w:tplc="61240114" w:tentative="1">
      <w:start w:val="1"/>
      <w:numFmt w:val="bullet"/>
      <w:lvlText w:val="o"/>
      <w:lvlJc w:val="left"/>
      <w:pPr>
        <w:ind w:left="3600" w:hanging="360"/>
      </w:pPr>
      <w:rPr>
        <w:rFonts w:ascii="Courier New" w:hAnsi="Courier New" w:cs="Courier New" w:hint="default"/>
      </w:rPr>
    </w:lvl>
    <w:lvl w:ilvl="5" w:tplc="D472A8F4" w:tentative="1">
      <w:start w:val="1"/>
      <w:numFmt w:val="bullet"/>
      <w:lvlText w:val=""/>
      <w:lvlJc w:val="left"/>
      <w:pPr>
        <w:ind w:left="4320" w:hanging="360"/>
      </w:pPr>
      <w:rPr>
        <w:rFonts w:ascii="Wingdings" w:hAnsi="Wingdings" w:hint="default"/>
      </w:rPr>
    </w:lvl>
    <w:lvl w:ilvl="6" w:tplc="1272EDB2" w:tentative="1">
      <w:start w:val="1"/>
      <w:numFmt w:val="bullet"/>
      <w:lvlText w:val=""/>
      <w:lvlJc w:val="left"/>
      <w:pPr>
        <w:ind w:left="5040" w:hanging="360"/>
      </w:pPr>
      <w:rPr>
        <w:rFonts w:ascii="Symbol" w:hAnsi="Symbol" w:hint="default"/>
      </w:rPr>
    </w:lvl>
    <w:lvl w:ilvl="7" w:tplc="46102F32" w:tentative="1">
      <w:start w:val="1"/>
      <w:numFmt w:val="bullet"/>
      <w:lvlText w:val="o"/>
      <w:lvlJc w:val="left"/>
      <w:pPr>
        <w:ind w:left="5760" w:hanging="360"/>
      </w:pPr>
      <w:rPr>
        <w:rFonts w:ascii="Courier New" w:hAnsi="Courier New" w:cs="Courier New" w:hint="default"/>
      </w:rPr>
    </w:lvl>
    <w:lvl w:ilvl="8" w:tplc="FBC0C2EE" w:tentative="1">
      <w:start w:val="1"/>
      <w:numFmt w:val="bullet"/>
      <w:lvlText w:val=""/>
      <w:lvlJc w:val="left"/>
      <w:pPr>
        <w:ind w:left="6480" w:hanging="360"/>
      </w:pPr>
      <w:rPr>
        <w:rFonts w:ascii="Wingdings" w:hAnsi="Wingdings" w:hint="default"/>
      </w:rPr>
    </w:lvl>
  </w:abstractNum>
  <w:abstractNum w:abstractNumId="14" w15:restartNumberingAfterBreak="0">
    <w:nsid w:val="7B751888"/>
    <w:multiLevelType w:val="hybridMultilevel"/>
    <w:tmpl w:val="27CAC658"/>
    <w:lvl w:ilvl="0" w:tplc="A6CECDD8">
      <w:start w:val="1"/>
      <w:numFmt w:val="decimal"/>
      <w:lvlText w:val="(%1)"/>
      <w:lvlJc w:val="left"/>
      <w:pPr>
        <w:ind w:left="360" w:hanging="360"/>
      </w:pPr>
      <w:rPr>
        <w:sz w:val="20"/>
      </w:rPr>
    </w:lvl>
    <w:lvl w:ilvl="1" w:tplc="5BDC866A">
      <w:start w:val="1"/>
      <w:numFmt w:val="lowerLetter"/>
      <w:lvlText w:val="%2."/>
      <w:lvlJc w:val="left"/>
      <w:pPr>
        <w:ind w:left="1080" w:hanging="360"/>
      </w:pPr>
    </w:lvl>
    <w:lvl w:ilvl="2" w:tplc="3AAADEC8">
      <w:start w:val="1"/>
      <w:numFmt w:val="lowerRoman"/>
      <w:lvlText w:val="%3."/>
      <w:lvlJc w:val="right"/>
      <w:pPr>
        <w:ind w:left="1800" w:hanging="180"/>
      </w:pPr>
    </w:lvl>
    <w:lvl w:ilvl="3" w:tplc="5EFA1F2A">
      <w:start w:val="1"/>
      <w:numFmt w:val="decimal"/>
      <w:lvlText w:val="%4."/>
      <w:lvlJc w:val="left"/>
      <w:pPr>
        <w:ind w:left="2520" w:hanging="360"/>
      </w:pPr>
    </w:lvl>
    <w:lvl w:ilvl="4" w:tplc="04B63754">
      <w:start w:val="1"/>
      <w:numFmt w:val="lowerLetter"/>
      <w:lvlText w:val="%5."/>
      <w:lvlJc w:val="left"/>
      <w:pPr>
        <w:ind w:left="3240" w:hanging="360"/>
      </w:pPr>
    </w:lvl>
    <w:lvl w:ilvl="5" w:tplc="E398E566">
      <w:start w:val="1"/>
      <w:numFmt w:val="lowerRoman"/>
      <w:lvlText w:val="%6."/>
      <w:lvlJc w:val="right"/>
      <w:pPr>
        <w:ind w:left="3960" w:hanging="180"/>
      </w:pPr>
    </w:lvl>
    <w:lvl w:ilvl="6" w:tplc="22D249C4">
      <w:start w:val="1"/>
      <w:numFmt w:val="decimal"/>
      <w:lvlText w:val="%7."/>
      <w:lvlJc w:val="left"/>
      <w:pPr>
        <w:ind w:left="4680" w:hanging="360"/>
      </w:pPr>
    </w:lvl>
    <w:lvl w:ilvl="7" w:tplc="50B6C686">
      <w:start w:val="1"/>
      <w:numFmt w:val="lowerLetter"/>
      <w:lvlText w:val="%8."/>
      <w:lvlJc w:val="left"/>
      <w:pPr>
        <w:ind w:left="5400" w:hanging="360"/>
      </w:pPr>
    </w:lvl>
    <w:lvl w:ilvl="8" w:tplc="B3205606">
      <w:start w:val="1"/>
      <w:numFmt w:val="lowerRoman"/>
      <w:lvlText w:val="%9."/>
      <w:lvlJc w:val="right"/>
      <w:pPr>
        <w:ind w:left="6120" w:hanging="180"/>
      </w:pPr>
    </w:lvl>
  </w:abstractNum>
  <w:abstractNum w:abstractNumId="15" w15:restartNumberingAfterBreak="0">
    <w:nsid w:val="7C1E6560"/>
    <w:multiLevelType w:val="hybridMultilevel"/>
    <w:tmpl w:val="BC1C317A"/>
    <w:lvl w:ilvl="0" w:tplc="DBE225A6">
      <w:start w:val="1"/>
      <w:numFmt w:val="bullet"/>
      <w:lvlText w:val=""/>
      <w:lvlJc w:val="left"/>
      <w:pPr>
        <w:ind w:left="720" w:hanging="360"/>
      </w:pPr>
      <w:rPr>
        <w:rFonts w:ascii="Symbol" w:hAnsi="Symbol" w:hint="default"/>
      </w:rPr>
    </w:lvl>
    <w:lvl w:ilvl="1" w:tplc="9F1675EE" w:tentative="1">
      <w:start w:val="1"/>
      <w:numFmt w:val="bullet"/>
      <w:lvlText w:val="o"/>
      <w:lvlJc w:val="left"/>
      <w:pPr>
        <w:ind w:left="1440" w:hanging="360"/>
      </w:pPr>
      <w:rPr>
        <w:rFonts w:ascii="Courier New" w:hAnsi="Courier New" w:cs="Courier New" w:hint="default"/>
      </w:rPr>
    </w:lvl>
    <w:lvl w:ilvl="2" w:tplc="AFFE3B52" w:tentative="1">
      <w:start w:val="1"/>
      <w:numFmt w:val="bullet"/>
      <w:lvlText w:val=""/>
      <w:lvlJc w:val="left"/>
      <w:pPr>
        <w:ind w:left="2160" w:hanging="360"/>
      </w:pPr>
      <w:rPr>
        <w:rFonts w:ascii="Wingdings" w:hAnsi="Wingdings" w:hint="default"/>
      </w:rPr>
    </w:lvl>
    <w:lvl w:ilvl="3" w:tplc="335CB7F2" w:tentative="1">
      <w:start w:val="1"/>
      <w:numFmt w:val="bullet"/>
      <w:lvlText w:val=""/>
      <w:lvlJc w:val="left"/>
      <w:pPr>
        <w:ind w:left="2880" w:hanging="360"/>
      </w:pPr>
      <w:rPr>
        <w:rFonts w:ascii="Symbol" w:hAnsi="Symbol" w:hint="default"/>
      </w:rPr>
    </w:lvl>
    <w:lvl w:ilvl="4" w:tplc="5EBCBF1C" w:tentative="1">
      <w:start w:val="1"/>
      <w:numFmt w:val="bullet"/>
      <w:lvlText w:val="o"/>
      <w:lvlJc w:val="left"/>
      <w:pPr>
        <w:ind w:left="3600" w:hanging="360"/>
      </w:pPr>
      <w:rPr>
        <w:rFonts w:ascii="Courier New" w:hAnsi="Courier New" w:cs="Courier New" w:hint="default"/>
      </w:rPr>
    </w:lvl>
    <w:lvl w:ilvl="5" w:tplc="3B8A91EC" w:tentative="1">
      <w:start w:val="1"/>
      <w:numFmt w:val="bullet"/>
      <w:lvlText w:val=""/>
      <w:lvlJc w:val="left"/>
      <w:pPr>
        <w:ind w:left="4320" w:hanging="360"/>
      </w:pPr>
      <w:rPr>
        <w:rFonts w:ascii="Wingdings" w:hAnsi="Wingdings" w:hint="default"/>
      </w:rPr>
    </w:lvl>
    <w:lvl w:ilvl="6" w:tplc="72B284C0" w:tentative="1">
      <w:start w:val="1"/>
      <w:numFmt w:val="bullet"/>
      <w:lvlText w:val=""/>
      <w:lvlJc w:val="left"/>
      <w:pPr>
        <w:ind w:left="5040" w:hanging="360"/>
      </w:pPr>
      <w:rPr>
        <w:rFonts w:ascii="Symbol" w:hAnsi="Symbol" w:hint="default"/>
      </w:rPr>
    </w:lvl>
    <w:lvl w:ilvl="7" w:tplc="2D522F02" w:tentative="1">
      <w:start w:val="1"/>
      <w:numFmt w:val="bullet"/>
      <w:lvlText w:val="o"/>
      <w:lvlJc w:val="left"/>
      <w:pPr>
        <w:ind w:left="5760" w:hanging="360"/>
      </w:pPr>
      <w:rPr>
        <w:rFonts w:ascii="Courier New" w:hAnsi="Courier New" w:cs="Courier New" w:hint="default"/>
      </w:rPr>
    </w:lvl>
    <w:lvl w:ilvl="8" w:tplc="E5F20DEA" w:tentative="1">
      <w:start w:val="1"/>
      <w:numFmt w:val="bullet"/>
      <w:lvlText w:val=""/>
      <w:lvlJc w:val="left"/>
      <w:pPr>
        <w:ind w:left="6480" w:hanging="360"/>
      </w:pPr>
      <w:rPr>
        <w:rFonts w:ascii="Wingdings" w:hAnsi="Wingdings" w:hint="default"/>
      </w:rPr>
    </w:lvl>
  </w:abstractNum>
  <w:abstractNum w:abstractNumId="16" w15:restartNumberingAfterBreak="0">
    <w:nsid w:val="7D5E5F29"/>
    <w:multiLevelType w:val="hybridMultilevel"/>
    <w:tmpl w:val="01C8D6E6"/>
    <w:lvl w:ilvl="0" w:tplc="0FF8090E">
      <w:start w:val="1"/>
      <w:numFmt w:val="bullet"/>
      <w:lvlText w:val=""/>
      <w:lvlJc w:val="left"/>
      <w:pPr>
        <w:ind w:left="720" w:hanging="360"/>
      </w:pPr>
      <w:rPr>
        <w:rFonts w:ascii="Symbol" w:hAnsi="Symbol" w:hint="default"/>
      </w:rPr>
    </w:lvl>
    <w:lvl w:ilvl="1" w:tplc="BAEA2DE0" w:tentative="1">
      <w:start w:val="1"/>
      <w:numFmt w:val="bullet"/>
      <w:lvlText w:val="o"/>
      <w:lvlJc w:val="left"/>
      <w:pPr>
        <w:ind w:left="1440" w:hanging="360"/>
      </w:pPr>
      <w:rPr>
        <w:rFonts w:ascii="Courier New" w:hAnsi="Courier New" w:cs="Courier New" w:hint="default"/>
      </w:rPr>
    </w:lvl>
    <w:lvl w:ilvl="2" w:tplc="42C86F1A" w:tentative="1">
      <w:start w:val="1"/>
      <w:numFmt w:val="bullet"/>
      <w:lvlText w:val=""/>
      <w:lvlJc w:val="left"/>
      <w:pPr>
        <w:ind w:left="2160" w:hanging="360"/>
      </w:pPr>
      <w:rPr>
        <w:rFonts w:ascii="Wingdings" w:hAnsi="Wingdings" w:hint="default"/>
      </w:rPr>
    </w:lvl>
    <w:lvl w:ilvl="3" w:tplc="8FEA7D42" w:tentative="1">
      <w:start w:val="1"/>
      <w:numFmt w:val="bullet"/>
      <w:lvlText w:val=""/>
      <w:lvlJc w:val="left"/>
      <w:pPr>
        <w:ind w:left="2880" w:hanging="360"/>
      </w:pPr>
      <w:rPr>
        <w:rFonts w:ascii="Symbol" w:hAnsi="Symbol" w:hint="default"/>
      </w:rPr>
    </w:lvl>
    <w:lvl w:ilvl="4" w:tplc="ECA866B6" w:tentative="1">
      <w:start w:val="1"/>
      <w:numFmt w:val="bullet"/>
      <w:lvlText w:val="o"/>
      <w:lvlJc w:val="left"/>
      <w:pPr>
        <w:ind w:left="3600" w:hanging="360"/>
      </w:pPr>
      <w:rPr>
        <w:rFonts w:ascii="Courier New" w:hAnsi="Courier New" w:cs="Courier New" w:hint="default"/>
      </w:rPr>
    </w:lvl>
    <w:lvl w:ilvl="5" w:tplc="BC3A966C" w:tentative="1">
      <w:start w:val="1"/>
      <w:numFmt w:val="bullet"/>
      <w:lvlText w:val=""/>
      <w:lvlJc w:val="left"/>
      <w:pPr>
        <w:ind w:left="4320" w:hanging="360"/>
      </w:pPr>
      <w:rPr>
        <w:rFonts w:ascii="Wingdings" w:hAnsi="Wingdings" w:hint="default"/>
      </w:rPr>
    </w:lvl>
    <w:lvl w:ilvl="6" w:tplc="1F7E74F6" w:tentative="1">
      <w:start w:val="1"/>
      <w:numFmt w:val="bullet"/>
      <w:lvlText w:val=""/>
      <w:lvlJc w:val="left"/>
      <w:pPr>
        <w:ind w:left="5040" w:hanging="360"/>
      </w:pPr>
      <w:rPr>
        <w:rFonts w:ascii="Symbol" w:hAnsi="Symbol" w:hint="default"/>
      </w:rPr>
    </w:lvl>
    <w:lvl w:ilvl="7" w:tplc="8CC62ED6" w:tentative="1">
      <w:start w:val="1"/>
      <w:numFmt w:val="bullet"/>
      <w:lvlText w:val="o"/>
      <w:lvlJc w:val="left"/>
      <w:pPr>
        <w:ind w:left="5760" w:hanging="360"/>
      </w:pPr>
      <w:rPr>
        <w:rFonts w:ascii="Courier New" w:hAnsi="Courier New" w:cs="Courier New" w:hint="default"/>
      </w:rPr>
    </w:lvl>
    <w:lvl w:ilvl="8" w:tplc="455EA89E" w:tentative="1">
      <w:start w:val="1"/>
      <w:numFmt w:val="bullet"/>
      <w:lvlText w:val=""/>
      <w:lvlJc w:val="left"/>
      <w:pPr>
        <w:ind w:left="6480" w:hanging="360"/>
      </w:pPr>
      <w:rPr>
        <w:rFonts w:ascii="Wingdings" w:hAnsi="Wingdings" w:hint="default"/>
      </w:rPr>
    </w:lvl>
  </w:abstractNum>
  <w:abstractNum w:abstractNumId="17" w15:restartNumberingAfterBreak="0">
    <w:nsid w:val="7E7F2A87"/>
    <w:multiLevelType w:val="hybridMultilevel"/>
    <w:tmpl w:val="8F924CD0"/>
    <w:lvl w:ilvl="0" w:tplc="8408965A">
      <w:start w:val="1"/>
      <w:numFmt w:val="bullet"/>
      <w:lvlText w:val=""/>
      <w:lvlJc w:val="left"/>
      <w:pPr>
        <w:ind w:left="720" w:hanging="360"/>
      </w:pPr>
      <w:rPr>
        <w:rFonts w:ascii="Symbol" w:hAnsi="Symbol" w:hint="default"/>
      </w:rPr>
    </w:lvl>
    <w:lvl w:ilvl="1" w:tplc="7E840BB2">
      <w:start w:val="1"/>
      <w:numFmt w:val="bullet"/>
      <w:lvlText w:val="o"/>
      <w:lvlJc w:val="left"/>
      <w:pPr>
        <w:ind w:left="1440" w:hanging="360"/>
      </w:pPr>
      <w:rPr>
        <w:rFonts w:ascii="Courier New" w:hAnsi="Courier New" w:hint="default"/>
      </w:rPr>
    </w:lvl>
    <w:lvl w:ilvl="2" w:tplc="1F206996">
      <w:start w:val="1"/>
      <w:numFmt w:val="bullet"/>
      <w:lvlText w:val=""/>
      <w:lvlJc w:val="left"/>
      <w:pPr>
        <w:ind w:left="2160" w:hanging="360"/>
      </w:pPr>
      <w:rPr>
        <w:rFonts w:ascii="Wingdings" w:hAnsi="Wingdings" w:hint="default"/>
      </w:rPr>
    </w:lvl>
    <w:lvl w:ilvl="3" w:tplc="010C9A1A">
      <w:start w:val="1"/>
      <w:numFmt w:val="bullet"/>
      <w:lvlText w:val=""/>
      <w:lvlJc w:val="left"/>
      <w:pPr>
        <w:ind w:left="2880" w:hanging="360"/>
      </w:pPr>
      <w:rPr>
        <w:rFonts w:ascii="Symbol" w:hAnsi="Symbol" w:hint="default"/>
      </w:rPr>
    </w:lvl>
    <w:lvl w:ilvl="4" w:tplc="4B823ED2">
      <w:start w:val="1"/>
      <w:numFmt w:val="bullet"/>
      <w:lvlText w:val="o"/>
      <w:lvlJc w:val="left"/>
      <w:pPr>
        <w:ind w:left="3600" w:hanging="360"/>
      </w:pPr>
      <w:rPr>
        <w:rFonts w:ascii="Courier New" w:hAnsi="Courier New" w:hint="default"/>
      </w:rPr>
    </w:lvl>
    <w:lvl w:ilvl="5" w:tplc="4956DCFE">
      <w:start w:val="1"/>
      <w:numFmt w:val="bullet"/>
      <w:lvlText w:val=""/>
      <w:lvlJc w:val="left"/>
      <w:pPr>
        <w:ind w:left="4320" w:hanging="360"/>
      </w:pPr>
      <w:rPr>
        <w:rFonts w:ascii="Wingdings" w:hAnsi="Wingdings" w:hint="default"/>
      </w:rPr>
    </w:lvl>
    <w:lvl w:ilvl="6" w:tplc="8D489DDC">
      <w:start w:val="1"/>
      <w:numFmt w:val="bullet"/>
      <w:lvlText w:val=""/>
      <w:lvlJc w:val="left"/>
      <w:pPr>
        <w:ind w:left="5040" w:hanging="360"/>
      </w:pPr>
      <w:rPr>
        <w:rFonts w:ascii="Symbol" w:hAnsi="Symbol" w:hint="default"/>
      </w:rPr>
    </w:lvl>
    <w:lvl w:ilvl="7" w:tplc="73EC88F4">
      <w:start w:val="1"/>
      <w:numFmt w:val="bullet"/>
      <w:lvlText w:val="o"/>
      <w:lvlJc w:val="left"/>
      <w:pPr>
        <w:ind w:left="5760" w:hanging="360"/>
      </w:pPr>
      <w:rPr>
        <w:rFonts w:ascii="Courier New" w:hAnsi="Courier New" w:hint="default"/>
      </w:rPr>
    </w:lvl>
    <w:lvl w:ilvl="8" w:tplc="80967B1C">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4"/>
  </w:num>
  <w:num w:numId="7">
    <w:abstractNumId w:val="2"/>
  </w:num>
  <w:num w:numId="8">
    <w:abstractNumId w:val="16"/>
  </w:num>
  <w:num w:numId="9">
    <w:abstractNumId w:val="5"/>
  </w:num>
  <w:num w:numId="10">
    <w:abstractNumId w:val="8"/>
  </w:num>
  <w:num w:numId="11">
    <w:abstractNumId w:val="9"/>
  </w:num>
  <w:num w:numId="12">
    <w:abstractNumId w:val="12"/>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0"/>
  </w:num>
  <w:num w:numId="17">
    <w:abstractNumId w:val="15"/>
  </w:num>
  <w:num w:numId="18">
    <w:abstractNumId w:val="10"/>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8F2"/>
    <w:rsid w:val="00001256"/>
    <w:rsid w:val="00004D29"/>
    <w:rsid w:val="00007585"/>
    <w:rsid w:val="00011ACB"/>
    <w:rsid w:val="000133E2"/>
    <w:rsid w:val="00013B7E"/>
    <w:rsid w:val="0001784B"/>
    <w:rsid w:val="00017A16"/>
    <w:rsid w:val="0001C1DD"/>
    <w:rsid w:val="00020A1B"/>
    <w:rsid w:val="0002435A"/>
    <w:rsid w:val="00025017"/>
    <w:rsid w:val="000258B3"/>
    <w:rsid w:val="00036F7B"/>
    <w:rsid w:val="00041AB3"/>
    <w:rsid w:val="00046F47"/>
    <w:rsid w:val="000507C1"/>
    <w:rsid w:val="00050B4B"/>
    <w:rsid w:val="000525C9"/>
    <w:rsid w:val="00053DB9"/>
    <w:rsid w:val="00073446"/>
    <w:rsid w:val="0007395C"/>
    <w:rsid w:val="000742CE"/>
    <w:rsid w:val="00077DB5"/>
    <w:rsid w:val="00080031"/>
    <w:rsid w:val="00092F5A"/>
    <w:rsid w:val="00095911"/>
    <w:rsid w:val="000A096A"/>
    <w:rsid w:val="000A508D"/>
    <w:rsid w:val="000B18DF"/>
    <w:rsid w:val="000B2370"/>
    <w:rsid w:val="000C05FB"/>
    <w:rsid w:val="000C1365"/>
    <w:rsid w:val="000C39DD"/>
    <w:rsid w:val="000C781B"/>
    <w:rsid w:val="000C7DFE"/>
    <w:rsid w:val="000D4197"/>
    <w:rsid w:val="000D73D8"/>
    <w:rsid w:val="000DFBA4"/>
    <w:rsid w:val="000E18E8"/>
    <w:rsid w:val="000E3ED3"/>
    <w:rsid w:val="000E7FC3"/>
    <w:rsid w:val="000F02F4"/>
    <w:rsid w:val="000F258B"/>
    <w:rsid w:val="000F3426"/>
    <w:rsid w:val="000F368C"/>
    <w:rsid w:val="000F3FBE"/>
    <w:rsid w:val="00111E70"/>
    <w:rsid w:val="001121BB"/>
    <w:rsid w:val="001226B0"/>
    <w:rsid w:val="00122FB0"/>
    <w:rsid w:val="00123509"/>
    <w:rsid w:val="00123C44"/>
    <w:rsid w:val="00123E07"/>
    <w:rsid w:val="00125A36"/>
    <w:rsid w:val="00131AA3"/>
    <w:rsid w:val="001332EE"/>
    <w:rsid w:val="0013B542"/>
    <w:rsid w:val="00140DF8"/>
    <w:rsid w:val="00142C67"/>
    <w:rsid w:val="00145B8D"/>
    <w:rsid w:val="001512D1"/>
    <w:rsid w:val="0015724F"/>
    <w:rsid w:val="0016448F"/>
    <w:rsid w:val="00167C73"/>
    <w:rsid w:val="001770E6"/>
    <w:rsid w:val="00177A8D"/>
    <w:rsid w:val="0018011B"/>
    <w:rsid w:val="00184555"/>
    <w:rsid w:val="00192C18"/>
    <w:rsid w:val="00195EEF"/>
    <w:rsid w:val="00196C41"/>
    <w:rsid w:val="001A400A"/>
    <w:rsid w:val="001A43F1"/>
    <w:rsid w:val="001A49B5"/>
    <w:rsid w:val="001A4D23"/>
    <w:rsid w:val="001A6A43"/>
    <w:rsid w:val="001B1422"/>
    <w:rsid w:val="001B765A"/>
    <w:rsid w:val="001C09B2"/>
    <w:rsid w:val="001C1734"/>
    <w:rsid w:val="001C6468"/>
    <w:rsid w:val="001D0FE5"/>
    <w:rsid w:val="001D398F"/>
    <w:rsid w:val="001D49B0"/>
    <w:rsid w:val="001D4B9D"/>
    <w:rsid w:val="001E31D4"/>
    <w:rsid w:val="001E7348"/>
    <w:rsid w:val="001F014C"/>
    <w:rsid w:val="001F1626"/>
    <w:rsid w:val="001F162D"/>
    <w:rsid w:val="001F31AE"/>
    <w:rsid w:val="001F674A"/>
    <w:rsid w:val="001F7C2A"/>
    <w:rsid w:val="00200C1D"/>
    <w:rsid w:val="00207665"/>
    <w:rsid w:val="00207DEE"/>
    <w:rsid w:val="00210103"/>
    <w:rsid w:val="00210C58"/>
    <w:rsid w:val="00217508"/>
    <w:rsid w:val="002205AF"/>
    <w:rsid w:val="00221D0B"/>
    <w:rsid w:val="002220AE"/>
    <w:rsid w:val="002265F0"/>
    <w:rsid w:val="002277A1"/>
    <w:rsid w:val="002409EF"/>
    <w:rsid w:val="00250B77"/>
    <w:rsid w:val="002534F6"/>
    <w:rsid w:val="00253EAF"/>
    <w:rsid w:val="0026069C"/>
    <w:rsid w:val="002720CC"/>
    <w:rsid w:val="002744DD"/>
    <w:rsid w:val="00274807"/>
    <w:rsid w:val="00276CE3"/>
    <w:rsid w:val="00280C1B"/>
    <w:rsid w:val="002838F2"/>
    <w:rsid w:val="00285DA5"/>
    <w:rsid w:val="0028634B"/>
    <w:rsid w:val="002925B8"/>
    <w:rsid w:val="00296833"/>
    <w:rsid w:val="002A062B"/>
    <w:rsid w:val="002A3D6D"/>
    <w:rsid w:val="002A6544"/>
    <w:rsid w:val="002A70FC"/>
    <w:rsid w:val="002A7CA1"/>
    <w:rsid w:val="002B0DBD"/>
    <w:rsid w:val="002B3909"/>
    <w:rsid w:val="002B747A"/>
    <w:rsid w:val="002C0FF4"/>
    <w:rsid w:val="002C1DAC"/>
    <w:rsid w:val="002D0EDC"/>
    <w:rsid w:val="002D6E2A"/>
    <w:rsid w:val="002E07BB"/>
    <w:rsid w:val="002E4EC4"/>
    <w:rsid w:val="002E52CE"/>
    <w:rsid w:val="002E5DF4"/>
    <w:rsid w:val="002E6307"/>
    <w:rsid w:val="002E7879"/>
    <w:rsid w:val="002E7E0A"/>
    <w:rsid w:val="002F513B"/>
    <w:rsid w:val="002F5A3E"/>
    <w:rsid w:val="002F68A7"/>
    <w:rsid w:val="00300F36"/>
    <w:rsid w:val="003046A3"/>
    <w:rsid w:val="0030579F"/>
    <w:rsid w:val="00305F3A"/>
    <w:rsid w:val="003065B4"/>
    <w:rsid w:val="003069FF"/>
    <w:rsid w:val="0031188A"/>
    <w:rsid w:val="0031219D"/>
    <w:rsid w:val="00315598"/>
    <w:rsid w:val="0031637E"/>
    <w:rsid w:val="0032288D"/>
    <w:rsid w:val="00323412"/>
    <w:rsid w:val="00323A5D"/>
    <w:rsid w:val="0032442E"/>
    <w:rsid w:val="0032ECE7"/>
    <w:rsid w:val="00331019"/>
    <w:rsid w:val="00337F8C"/>
    <w:rsid w:val="00340960"/>
    <w:rsid w:val="0034354C"/>
    <w:rsid w:val="003435BD"/>
    <w:rsid w:val="003454EB"/>
    <w:rsid w:val="003526D1"/>
    <w:rsid w:val="00352FF2"/>
    <w:rsid w:val="00355AA2"/>
    <w:rsid w:val="00360950"/>
    <w:rsid w:val="00362CF6"/>
    <w:rsid w:val="00367E0B"/>
    <w:rsid w:val="00371C0F"/>
    <w:rsid w:val="00383C23"/>
    <w:rsid w:val="00384F60"/>
    <w:rsid w:val="00390F6A"/>
    <w:rsid w:val="003914B1"/>
    <w:rsid w:val="003A1640"/>
    <w:rsid w:val="003A19EF"/>
    <w:rsid w:val="003A24B1"/>
    <w:rsid w:val="003B1B95"/>
    <w:rsid w:val="003B2001"/>
    <w:rsid w:val="003B2220"/>
    <w:rsid w:val="003B2F86"/>
    <w:rsid w:val="003C4E41"/>
    <w:rsid w:val="003D183F"/>
    <w:rsid w:val="003E0CE8"/>
    <w:rsid w:val="003E101A"/>
    <w:rsid w:val="003E4409"/>
    <w:rsid w:val="003E442D"/>
    <w:rsid w:val="003F05BE"/>
    <w:rsid w:val="003F2381"/>
    <w:rsid w:val="003F3A47"/>
    <w:rsid w:val="003F655B"/>
    <w:rsid w:val="003F7F3F"/>
    <w:rsid w:val="004019BF"/>
    <w:rsid w:val="00415612"/>
    <w:rsid w:val="0041762F"/>
    <w:rsid w:val="00425002"/>
    <w:rsid w:val="004301CF"/>
    <w:rsid w:val="00431DB7"/>
    <w:rsid w:val="00434916"/>
    <w:rsid w:val="004358FB"/>
    <w:rsid w:val="0043590C"/>
    <w:rsid w:val="00435DDD"/>
    <w:rsid w:val="00442656"/>
    <w:rsid w:val="0044628C"/>
    <w:rsid w:val="0044E0E5"/>
    <w:rsid w:val="00450289"/>
    <w:rsid w:val="004511EF"/>
    <w:rsid w:val="00452236"/>
    <w:rsid w:val="00473184"/>
    <w:rsid w:val="0047453A"/>
    <w:rsid w:val="00475DFB"/>
    <w:rsid w:val="0047614A"/>
    <w:rsid w:val="0047796E"/>
    <w:rsid w:val="0048285A"/>
    <w:rsid w:val="0049220C"/>
    <w:rsid w:val="00497F1B"/>
    <w:rsid w:val="004A2C41"/>
    <w:rsid w:val="004A6825"/>
    <w:rsid w:val="004B0886"/>
    <w:rsid w:val="004B0BE0"/>
    <w:rsid w:val="004B2678"/>
    <w:rsid w:val="004B3AF3"/>
    <w:rsid w:val="004B4F11"/>
    <w:rsid w:val="004B628C"/>
    <w:rsid w:val="004C6605"/>
    <w:rsid w:val="004C7F0A"/>
    <w:rsid w:val="004D0AF9"/>
    <w:rsid w:val="004D0B0A"/>
    <w:rsid w:val="004D1B4E"/>
    <w:rsid w:val="004D203F"/>
    <w:rsid w:val="004D430F"/>
    <w:rsid w:val="004E7DD6"/>
    <w:rsid w:val="004F0D7F"/>
    <w:rsid w:val="004F3ABA"/>
    <w:rsid w:val="004F7941"/>
    <w:rsid w:val="00501E98"/>
    <w:rsid w:val="00504746"/>
    <w:rsid w:val="00504E2B"/>
    <w:rsid w:val="00505E62"/>
    <w:rsid w:val="00510628"/>
    <w:rsid w:val="005109F6"/>
    <w:rsid w:val="00511644"/>
    <w:rsid w:val="00515537"/>
    <w:rsid w:val="00517843"/>
    <w:rsid w:val="00521E6E"/>
    <w:rsid w:val="00524B26"/>
    <w:rsid w:val="005269D0"/>
    <w:rsid w:val="00526E10"/>
    <w:rsid w:val="005330B3"/>
    <w:rsid w:val="00534664"/>
    <w:rsid w:val="00536E6E"/>
    <w:rsid w:val="005373D9"/>
    <w:rsid w:val="00537744"/>
    <w:rsid w:val="0053DAC0"/>
    <w:rsid w:val="0054125E"/>
    <w:rsid w:val="005414FB"/>
    <w:rsid w:val="00545FE0"/>
    <w:rsid w:val="0055170D"/>
    <w:rsid w:val="00551AC1"/>
    <w:rsid w:val="0056032A"/>
    <w:rsid w:val="00562BD5"/>
    <w:rsid w:val="00564C57"/>
    <w:rsid w:val="005669BE"/>
    <w:rsid w:val="00570C7D"/>
    <w:rsid w:val="00572718"/>
    <w:rsid w:val="00573F30"/>
    <w:rsid w:val="00574087"/>
    <w:rsid w:val="00575499"/>
    <w:rsid w:val="0057583C"/>
    <w:rsid w:val="0058291F"/>
    <w:rsid w:val="00582D6F"/>
    <w:rsid w:val="00583C3F"/>
    <w:rsid w:val="0058536A"/>
    <w:rsid w:val="005A3536"/>
    <w:rsid w:val="005B010D"/>
    <w:rsid w:val="005B47B1"/>
    <w:rsid w:val="005B4AFF"/>
    <w:rsid w:val="005B6167"/>
    <w:rsid w:val="005B760A"/>
    <w:rsid w:val="005C0C77"/>
    <w:rsid w:val="005C2CC9"/>
    <w:rsid w:val="005C6838"/>
    <w:rsid w:val="005C7158"/>
    <w:rsid w:val="005D49BA"/>
    <w:rsid w:val="005D71FD"/>
    <w:rsid w:val="005E1B76"/>
    <w:rsid w:val="005E330D"/>
    <w:rsid w:val="005F1C30"/>
    <w:rsid w:val="005F2EB2"/>
    <w:rsid w:val="005F476B"/>
    <w:rsid w:val="005F55FC"/>
    <w:rsid w:val="005F6297"/>
    <w:rsid w:val="00602EF0"/>
    <w:rsid w:val="0060756D"/>
    <w:rsid w:val="00607777"/>
    <w:rsid w:val="00616A97"/>
    <w:rsid w:val="0061728D"/>
    <w:rsid w:val="006175B4"/>
    <w:rsid w:val="00621C4A"/>
    <w:rsid w:val="00622E7F"/>
    <w:rsid w:val="00623C95"/>
    <w:rsid w:val="00623DEA"/>
    <w:rsid w:val="00623DF2"/>
    <w:rsid w:val="00623EBB"/>
    <w:rsid w:val="00625772"/>
    <w:rsid w:val="006342D6"/>
    <w:rsid w:val="00634857"/>
    <w:rsid w:val="00635E3B"/>
    <w:rsid w:val="00636D1F"/>
    <w:rsid w:val="00647555"/>
    <w:rsid w:val="00653C87"/>
    <w:rsid w:val="00655041"/>
    <w:rsid w:val="0066391A"/>
    <w:rsid w:val="00667BA1"/>
    <w:rsid w:val="00670B66"/>
    <w:rsid w:val="00672F05"/>
    <w:rsid w:val="006736B7"/>
    <w:rsid w:val="00674F7C"/>
    <w:rsid w:val="0067500A"/>
    <w:rsid w:val="00676F9E"/>
    <w:rsid w:val="00681240"/>
    <w:rsid w:val="00681545"/>
    <w:rsid w:val="00682025"/>
    <w:rsid w:val="006848D4"/>
    <w:rsid w:val="00684DCF"/>
    <w:rsid w:val="006859D8"/>
    <w:rsid w:val="0069426C"/>
    <w:rsid w:val="006949CD"/>
    <w:rsid w:val="00695B4E"/>
    <w:rsid w:val="006979D4"/>
    <w:rsid w:val="006A02E4"/>
    <w:rsid w:val="006A337D"/>
    <w:rsid w:val="006A4BA2"/>
    <w:rsid w:val="006A540B"/>
    <w:rsid w:val="006B253F"/>
    <w:rsid w:val="006B30BD"/>
    <w:rsid w:val="006C07CE"/>
    <w:rsid w:val="006C1078"/>
    <w:rsid w:val="006D1B9B"/>
    <w:rsid w:val="006D2B1F"/>
    <w:rsid w:val="006E1EA7"/>
    <w:rsid w:val="006E3E6D"/>
    <w:rsid w:val="006E6C86"/>
    <w:rsid w:val="006E78F5"/>
    <w:rsid w:val="006F1BF7"/>
    <w:rsid w:val="0071127A"/>
    <w:rsid w:val="00712429"/>
    <w:rsid w:val="00715A70"/>
    <w:rsid w:val="007166A5"/>
    <w:rsid w:val="00720507"/>
    <w:rsid w:val="007226BB"/>
    <w:rsid w:val="00723C73"/>
    <w:rsid w:val="00725D0F"/>
    <w:rsid w:val="00726024"/>
    <w:rsid w:val="00733055"/>
    <w:rsid w:val="00733ACE"/>
    <w:rsid w:val="00734A40"/>
    <w:rsid w:val="00735BF3"/>
    <w:rsid w:val="00737475"/>
    <w:rsid w:val="0074509D"/>
    <w:rsid w:val="00747BFD"/>
    <w:rsid w:val="00751EE4"/>
    <w:rsid w:val="0075357F"/>
    <w:rsid w:val="00761E5F"/>
    <w:rsid w:val="00762D7E"/>
    <w:rsid w:val="00763EAC"/>
    <w:rsid w:val="00766C94"/>
    <w:rsid w:val="007713AF"/>
    <w:rsid w:val="007777CD"/>
    <w:rsid w:val="007846EA"/>
    <w:rsid w:val="00785E2E"/>
    <w:rsid w:val="00787507"/>
    <w:rsid w:val="00790A90"/>
    <w:rsid w:val="00793E28"/>
    <w:rsid w:val="00794E18"/>
    <w:rsid w:val="00797069"/>
    <w:rsid w:val="007A0EFB"/>
    <w:rsid w:val="007A25F3"/>
    <w:rsid w:val="007A319E"/>
    <w:rsid w:val="007A35D1"/>
    <w:rsid w:val="007A3B24"/>
    <w:rsid w:val="007B1D09"/>
    <w:rsid w:val="007B69B2"/>
    <w:rsid w:val="007B6D2A"/>
    <w:rsid w:val="007D2E16"/>
    <w:rsid w:val="007D41F4"/>
    <w:rsid w:val="007D73D0"/>
    <w:rsid w:val="007F0214"/>
    <w:rsid w:val="007F71AA"/>
    <w:rsid w:val="007F71D4"/>
    <w:rsid w:val="007F7C74"/>
    <w:rsid w:val="0080455B"/>
    <w:rsid w:val="00811841"/>
    <w:rsid w:val="008167B4"/>
    <w:rsid w:val="00820453"/>
    <w:rsid w:val="008209DC"/>
    <w:rsid w:val="00823748"/>
    <w:rsid w:val="00823CB0"/>
    <w:rsid w:val="0082751F"/>
    <w:rsid w:val="00827E30"/>
    <w:rsid w:val="0084562A"/>
    <w:rsid w:val="0084610D"/>
    <w:rsid w:val="00846683"/>
    <w:rsid w:val="0085231B"/>
    <w:rsid w:val="00852922"/>
    <w:rsid w:val="008566CC"/>
    <w:rsid w:val="0086292A"/>
    <w:rsid w:val="0086641D"/>
    <w:rsid w:val="00872AF3"/>
    <w:rsid w:val="00874B19"/>
    <w:rsid w:val="008751FA"/>
    <w:rsid w:val="008762C7"/>
    <w:rsid w:val="0087783B"/>
    <w:rsid w:val="0088528F"/>
    <w:rsid w:val="00894433"/>
    <w:rsid w:val="00894AF1"/>
    <w:rsid w:val="0089569C"/>
    <w:rsid w:val="00897C4F"/>
    <w:rsid w:val="008A0116"/>
    <w:rsid w:val="008A0758"/>
    <w:rsid w:val="008A0CC5"/>
    <w:rsid w:val="008A3559"/>
    <w:rsid w:val="008A3893"/>
    <w:rsid w:val="008A4314"/>
    <w:rsid w:val="008A725A"/>
    <w:rsid w:val="008C099E"/>
    <w:rsid w:val="008C09BC"/>
    <w:rsid w:val="008D39B9"/>
    <w:rsid w:val="008D39EF"/>
    <w:rsid w:val="008D3C59"/>
    <w:rsid w:val="008E2F87"/>
    <w:rsid w:val="008E5464"/>
    <w:rsid w:val="008E694B"/>
    <w:rsid w:val="008F0670"/>
    <w:rsid w:val="008F4CE0"/>
    <w:rsid w:val="008F7657"/>
    <w:rsid w:val="009115D0"/>
    <w:rsid w:val="00914679"/>
    <w:rsid w:val="009150EA"/>
    <w:rsid w:val="00916017"/>
    <w:rsid w:val="00930111"/>
    <w:rsid w:val="00931587"/>
    <w:rsid w:val="00933E74"/>
    <w:rsid w:val="00936BE0"/>
    <w:rsid w:val="0093720F"/>
    <w:rsid w:val="009376E3"/>
    <w:rsid w:val="009421AC"/>
    <w:rsid w:val="00943BB6"/>
    <w:rsid w:val="00944591"/>
    <w:rsid w:val="009501AC"/>
    <w:rsid w:val="00951F3F"/>
    <w:rsid w:val="00961093"/>
    <w:rsid w:val="00962C04"/>
    <w:rsid w:val="00963EA0"/>
    <w:rsid w:val="00964D19"/>
    <w:rsid w:val="00970B61"/>
    <w:rsid w:val="00970DA7"/>
    <w:rsid w:val="009716EC"/>
    <w:rsid w:val="00975B35"/>
    <w:rsid w:val="00976054"/>
    <w:rsid w:val="00991436"/>
    <w:rsid w:val="0099341C"/>
    <w:rsid w:val="009943A5"/>
    <w:rsid w:val="00994DD6"/>
    <w:rsid w:val="00996FE6"/>
    <w:rsid w:val="009A2510"/>
    <w:rsid w:val="009A456D"/>
    <w:rsid w:val="009A7AE3"/>
    <w:rsid w:val="009B0EC4"/>
    <w:rsid w:val="009B2680"/>
    <w:rsid w:val="009B51FC"/>
    <w:rsid w:val="009B6205"/>
    <w:rsid w:val="009D03DD"/>
    <w:rsid w:val="009D11AE"/>
    <w:rsid w:val="009D53DE"/>
    <w:rsid w:val="009E189D"/>
    <w:rsid w:val="009E3657"/>
    <w:rsid w:val="009E6494"/>
    <w:rsid w:val="009E7D1F"/>
    <w:rsid w:val="009F2F70"/>
    <w:rsid w:val="009F51A8"/>
    <w:rsid w:val="009F6464"/>
    <w:rsid w:val="009F786D"/>
    <w:rsid w:val="00A00251"/>
    <w:rsid w:val="00A13FE9"/>
    <w:rsid w:val="00A16FB8"/>
    <w:rsid w:val="00A225F1"/>
    <w:rsid w:val="00A27737"/>
    <w:rsid w:val="00A30BAB"/>
    <w:rsid w:val="00A32ABB"/>
    <w:rsid w:val="00A444FA"/>
    <w:rsid w:val="00A44901"/>
    <w:rsid w:val="00A461F4"/>
    <w:rsid w:val="00A4647C"/>
    <w:rsid w:val="00A60246"/>
    <w:rsid w:val="00A62455"/>
    <w:rsid w:val="00A63A2D"/>
    <w:rsid w:val="00A666B3"/>
    <w:rsid w:val="00A766E4"/>
    <w:rsid w:val="00A76FC4"/>
    <w:rsid w:val="00A8108F"/>
    <w:rsid w:val="00A83B7B"/>
    <w:rsid w:val="00A859CA"/>
    <w:rsid w:val="00A877FC"/>
    <w:rsid w:val="00A913E1"/>
    <w:rsid w:val="00A92011"/>
    <w:rsid w:val="00A935A3"/>
    <w:rsid w:val="00A93D3E"/>
    <w:rsid w:val="00A96B3C"/>
    <w:rsid w:val="00AA0898"/>
    <w:rsid w:val="00AA640C"/>
    <w:rsid w:val="00AA78A1"/>
    <w:rsid w:val="00AB19BD"/>
    <w:rsid w:val="00AB4748"/>
    <w:rsid w:val="00AB547C"/>
    <w:rsid w:val="00AB58BD"/>
    <w:rsid w:val="00AB7002"/>
    <w:rsid w:val="00AB79E2"/>
    <w:rsid w:val="00AC07E2"/>
    <w:rsid w:val="00AC296D"/>
    <w:rsid w:val="00AC478F"/>
    <w:rsid w:val="00AC483B"/>
    <w:rsid w:val="00AD1BBE"/>
    <w:rsid w:val="00AE3530"/>
    <w:rsid w:val="00AF11A4"/>
    <w:rsid w:val="00AF55DE"/>
    <w:rsid w:val="00B02056"/>
    <w:rsid w:val="00B03CC9"/>
    <w:rsid w:val="00B17C59"/>
    <w:rsid w:val="00B2080D"/>
    <w:rsid w:val="00B22C1E"/>
    <w:rsid w:val="00B25A31"/>
    <w:rsid w:val="00B26302"/>
    <w:rsid w:val="00B3001C"/>
    <w:rsid w:val="00B30E0E"/>
    <w:rsid w:val="00B34CB0"/>
    <w:rsid w:val="00B3509A"/>
    <w:rsid w:val="00B36867"/>
    <w:rsid w:val="00B404CF"/>
    <w:rsid w:val="00B410C4"/>
    <w:rsid w:val="00B42F15"/>
    <w:rsid w:val="00B4675A"/>
    <w:rsid w:val="00B47564"/>
    <w:rsid w:val="00B531E7"/>
    <w:rsid w:val="00B611B1"/>
    <w:rsid w:val="00B6230A"/>
    <w:rsid w:val="00B623A4"/>
    <w:rsid w:val="00B6422A"/>
    <w:rsid w:val="00B7059D"/>
    <w:rsid w:val="00B712E2"/>
    <w:rsid w:val="00B716A4"/>
    <w:rsid w:val="00B76588"/>
    <w:rsid w:val="00B812EB"/>
    <w:rsid w:val="00B815FE"/>
    <w:rsid w:val="00B81A8A"/>
    <w:rsid w:val="00B92743"/>
    <w:rsid w:val="00B9469A"/>
    <w:rsid w:val="00B9612E"/>
    <w:rsid w:val="00BA43DD"/>
    <w:rsid w:val="00BB349C"/>
    <w:rsid w:val="00BB542A"/>
    <w:rsid w:val="00BC2282"/>
    <w:rsid w:val="00BC5083"/>
    <w:rsid w:val="00BC5238"/>
    <w:rsid w:val="00BC57F5"/>
    <w:rsid w:val="00BC6C1E"/>
    <w:rsid w:val="00BD4E0A"/>
    <w:rsid w:val="00BD6CDA"/>
    <w:rsid w:val="00BD7D49"/>
    <w:rsid w:val="00BE03D2"/>
    <w:rsid w:val="00BE0C2C"/>
    <w:rsid w:val="00BE1158"/>
    <w:rsid w:val="00BE5A3C"/>
    <w:rsid w:val="00BE5FA3"/>
    <w:rsid w:val="00BE6AA7"/>
    <w:rsid w:val="00BE6BC7"/>
    <w:rsid w:val="00BE74EA"/>
    <w:rsid w:val="00BE7C63"/>
    <w:rsid w:val="00BF14DE"/>
    <w:rsid w:val="00BF2D13"/>
    <w:rsid w:val="00BF329F"/>
    <w:rsid w:val="00BF590F"/>
    <w:rsid w:val="00BF621E"/>
    <w:rsid w:val="00BF7A6B"/>
    <w:rsid w:val="00C00760"/>
    <w:rsid w:val="00C00EB5"/>
    <w:rsid w:val="00C016CE"/>
    <w:rsid w:val="00C03186"/>
    <w:rsid w:val="00C05702"/>
    <w:rsid w:val="00C07EA2"/>
    <w:rsid w:val="00C10210"/>
    <w:rsid w:val="00C131B4"/>
    <w:rsid w:val="00C14B0B"/>
    <w:rsid w:val="00C175DE"/>
    <w:rsid w:val="00C17673"/>
    <w:rsid w:val="00C22234"/>
    <w:rsid w:val="00C3255C"/>
    <w:rsid w:val="00C34F5E"/>
    <w:rsid w:val="00C51386"/>
    <w:rsid w:val="00C52804"/>
    <w:rsid w:val="00C53889"/>
    <w:rsid w:val="00C558E7"/>
    <w:rsid w:val="00C56640"/>
    <w:rsid w:val="00C573CC"/>
    <w:rsid w:val="00C5763B"/>
    <w:rsid w:val="00C738B0"/>
    <w:rsid w:val="00C81B42"/>
    <w:rsid w:val="00C8209F"/>
    <w:rsid w:val="00C90933"/>
    <w:rsid w:val="00C924B2"/>
    <w:rsid w:val="00C935C8"/>
    <w:rsid w:val="00C93CE9"/>
    <w:rsid w:val="00C942FE"/>
    <w:rsid w:val="00CA16D5"/>
    <w:rsid w:val="00CA2098"/>
    <w:rsid w:val="00CA24C6"/>
    <w:rsid w:val="00CA35DE"/>
    <w:rsid w:val="00CA4B50"/>
    <w:rsid w:val="00CA768A"/>
    <w:rsid w:val="00CB094D"/>
    <w:rsid w:val="00CB14DB"/>
    <w:rsid w:val="00CB48F3"/>
    <w:rsid w:val="00CC1A92"/>
    <w:rsid w:val="00CC580A"/>
    <w:rsid w:val="00CC5F21"/>
    <w:rsid w:val="00CD098B"/>
    <w:rsid w:val="00CD4A95"/>
    <w:rsid w:val="00CD51FC"/>
    <w:rsid w:val="00CD6E64"/>
    <w:rsid w:val="00CE0C5D"/>
    <w:rsid w:val="00CE1096"/>
    <w:rsid w:val="00CE2CB0"/>
    <w:rsid w:val="00CF0CC7"/>
    <w:rsid w:val="00CF2155"/>
    <w:rsid w:val="00CF2632"/>
    <w:rsid w:val="00CF46E9"/>
    <w:rsid w:val="00CF5FAC"/>
    <w:rsid w:val="00D05596"/>
    <w:rsid w:val="00D145B8"/>
    <w:rsid w:val="00D148F3"/>
    <w:rsid w:val="00D17986"/>
    <w:rsid w:val="00D20A92"/>
    <w:rsid w:val="00D26666"/>
    <w:rsid w:val="00D30E2C"/>
    <w:rsid w:val="00D33A8B"/>
    <w:rsid w:val="00D34AE0"/>
    <w:rsid w:val="00D34F94"/>
    <w:rsid w:val="00D4023A"/>
    <w:rsid w:val="00D4077C"/>
    <w:rsid w:val="00D43784"/>
    <w:rsid w:val="00D502BF"/>
    <w:rsid w:val="00D52D01"/>
    <w:rsid w:val="00D533EB"/>
    <w:rsid w:val="00D565F6"/>
    <w:rsid w:val="00D62D39"/>
    <w:rsid w:val="00D70025"/>
    <w:rsid w:val="00D71ABE"/>
    <w:rsid w:val="00D84FED"/>
    <w:rsid w:val="00D858D0"/>
    <w:rsid w:val="00D85B53"/>
    <w:rsid w:val="00D85D0B"/>
    <w:rsid w:val="00D863C3"/>
    <w:rsid w:val="00D91294"/>
    <w:rsid w:val="00D94D1E"/>
    <w:rsid w:val="00D96377"/>
    <w:rsid w:val="00D96553"/>
    <w:rsid w:val="00D970F9"/>
    <w:rsid w:val="00DA20CA"/>
    <w:rsid w:val="00DA3469"/>
    <w:rsid w:val="00DA3C5A"/>
    <w:rsid w:val="00DB05DE"/>
    <w:rsid w:val="00DB103C"/>
    <w:rsid w:val="00DC0C3A"/>
    <w:rsid w:val="00DD1200"/>
    <w:rsid w:val="00DD1E30"/>
    <w:rsid w:val="00DD214D"/>
    <w:rsid w:val="00DD759D"/>
    <w:rsid w:val="00DD780B"/>
    <w:rsid w:val="00DE0951"/>
    <w:rsid w:val="00DE3BAA"/>
    <w:rsid w:val="00DE5D47"/>
    <w:rsid w:val="00DF0869"/>
    <w:rsid w:val="00DF4A9B"/>
    <w:rsid w:val="00DF5BC6"/>
    <w:rsid w:val="00DF7B5D"/>
    <w:rsid w:val="00E0671D"/>
    <w:rsid w:val="00E0776C"/>
    <w:rsid w:val="00E11421"/>
    <w:rsid w:val="00E12711"/>
    <w:rsid w:val="00E13BDE"/>
    <w:rsid w:val="00E17670"/>
    <w:rsid w:val="00E2129C"/>
    <w:rsid w:val="00E31ADA"/>
    <w:rsid w:val="00E338E3"/>
    <w:rsid w:val="00E33F1C"/>
    <w:rsid w:val="00E3453B"/>
    <w:rsid w:val="00E34B2E"/>
    <w:rsid w:val="00E34EF7"/>
    <w:rsid w:val="00E4227B"/>
    <w:rsid w:val="00E43EEA"/>
    <w:rsid w:val="00E52747"/>
    <w:rsid w:val="00E52877"/>
    <w:rsid w:val="00E56032"/>
    <w:rsid w:val="00E56FA8"/>
    <w:rsid w:val="00E57D02"/>
    <w:rsid w:val="00E61B2D"/>
    <w:rsid w:val="00E62FF2"/>
    <w:rsid w:val="00E6645E"/>
    <w:rsid w:val="00E70623"/>
    <w:rsid w:val="00E709BA"/>
    <w:rsid w:val="00E709D1"/>
    <w:rsid w:val="00E719E0"/>
    <w:rsid w:val="00E74C75"/>
    <w:rsid w:val="00E7782A"/>
    <w:rsid w:val="00E77D06"/>
    <w:rsid w:val="00E835BD"/>
    <w:rsid w:val="00E841E9"/>
    <w:rsid w:val="00E9388A"/>
    <w:rsid w:val="00E94802"/>
    <w:rsid w:val="00E96CF7"/>
    <w:rsid w:val="00EA0D43"/>
    <w:rsid w:val="00EA51FD"/>
    <w:rsid w:val="00EA59E0"/>
    <w:rsid w:val="00EA5E16"/>
    <w:rsid w:val="00EA7743"/>
    <w:rsid w:val="00EB1875"/>
    <w:rsid w:val="00EB5DEB"/>
    <w:rsid w:val="00EC131C"/>
    <w:rsid w:val="00EC2CD4"/>
    <w:rsid w:val="00EC41CB"/>
    <w:rsid w:val="00ED23DA"/>
    <w:rsid w:val="00ED3E73"/>
    <w:rsid w:val="00ED666D"/>
    <w:rsid w:val="00EE288A"/>
    <w:rsid w:val="00EE5846"/>
    <w:rsid w:val="00EF3A70"/>
    <w:rsid w:val="00EF3F00"/>
    <w:rsid w:val="00EF7133"/>
    <w:rsid w:val="00EF7259"/>
    <w:rsid w:val="00EF7805"/>
    <w:rsid w:val="00F044C2"/>
    <w:rsid w:val="00F054E3"/>
    <w:rsid w:val="00F16123"/>
    <w:rsid w:val="00F177DC"/>
    <w:rsid w:val="00F17BA9"/>
    <w:rsid w:val="00F2228D"/>
    <w:rsid w:val="00F23C1E"/>
    <w:rsid w:val="00F24A95"/>
    <w:rsid w:val="00F26156"/>
    <w:rsid w:val="00F311B4"/>
    <w:rsid w:val="00F33B29"/>
    <w:rsid w:val="00F34485"/>
    <w:rsid w:val="00F34541"/>
    <w:rsid w:val="00F37071"/>
    <w:rsid w:val="00F41347"/>
    <w:rsid w:val="00F42508"/>
    <w:rsid w:val="00F50B4A"/>
    <w:rsid w:val="00F51064"/>
    <w:rsid w:val="00F5227D"/>
    <w:rsid w:val="00F52BA6"/>
    <w:rsid w:val="00F55678"/>
    <w:rsid w:val="00F61398"/>
    <w:rsid w:val="00F62A98"/>
    <w:rsid w:val="00F6393B"/>
    <w:rsid w:val="00F647A7"/>
    <w:rsid w:val="00F703C8"/>
    <w:rsid w:val="00F76E4F"/>
    <w:rsid w:val="00F844C6"/>
    <w:rsid w:val="00F84BF2"/>
    <w:rsid w:val="00F871B6"/>
    <w:rsid w:val="00FA21FC"/>
    <w:rsid w:val="00FA30B2"/>
    <w:rsid w:val="00FA35E5"/>
    <w:rsid w:val="00FA732D"/>
    <w:rsid w:val="00FC0F5E"/>
    <w:rsid w:val="00FC1D04"/>
    <w:rsid w:val="00FC4314"/>
    <w:rsid w:val="00FC7264"/>
    <w:rsid w:val="00FD2B8F"/>
    <w:rsid w:val="00FD3D3D"/>
    <w:rsid w:val="00FD3E99"/>
    <w:rsid w:val="00FD4E5C"/>
    <w:rsid w:val="00FE22C8"/>
    <w:rsid w:val="00FE4D5F"/>
    <w:rsid w:val="00FF5F69"/>
    <w:rsid w:val="00FF67D4"/>
    <w:rsid w:val="010C783C"/>
    <w:rsid w:val="010EEC77"/>
    <w:rsid w:val="0113A65B"/>
    <w:rsid w:val="0121A668"/>
    <w:rsid w:val="0121B72D"/>
    <w:rsid w:val="0124C105"/>
    <w:rsid w:val="012DE22A"/>
    <w:rsid w:val="0137B928"/>
    <w:rsid w:val="01434681"/>
    <w:rsid w:val="01480B5E"/>
    <w:rsid w:val="015FE597"/>
    <w:rsid w:val="01713EDA"/>
    <w:rsid w:val="0189266C"/>
    <w:rsid w:val="01995593"/>
    <w:rsid w:val="01C58EB0"/>
    <w:rsid w:val="01CC0736"/>
    <w:rsid w:val="01D89883"/>
    <w:rsid w:val="01F30107"/>
    <w:rsid w:val="020EFD68"/>
    <w:rsid w:val="020FDAD6"/>
    <w:rsid w:val="0226B49F"/>
    <w:rsid w:val="02313AE6"/>
    <w:rsid w:val="02345444"/>
    <w:rsid w:val="023F6D3D"/>
    <w:rsid w:val="02409E9C"/>
    <w:rsid w:val="02427767"/>
    <w:rsid w:val="024AC803"/>
    <w:rsid w:val="02672B4C"/>
    <w:rsid w:val="0270A46F"/>
    <w:rsid w:val="02712931"/>
    <w:rsid w:val="02776172"/>
    <w:rsid w:val="027A0635"/>
    <w:rsid w:val="028E8476"/>
    <w:rsid w:val="02B1D590"/>
    <w:rsid w:val="02B48713"/>
    <w:rsid w:val="02B54B29"/>
    <w:rsid w:val="02D84B13"/>
    <w:rsid w:val="02DDA947"/>
    <w:rsid w:val="02EDBFB4"/>
    <w:rsid w:val="02EF28F7"/>
    <w:rsid w:val="03054018"/>
    <w:rsid w:val="0306585F"/>
    <w:rsid w:val="03338DA5"/>
    <w:rsid w:val="03459C66"/>
    <w:rsid w:val="034AF268"/>
    <w:rsid w:val="0360060F"/>
    <w:rsid w:val="03686A61"/>
    <w:rsid w:val="03705991"/>
    <w:rsid w:val="03A4B4BC"/>
    <w:rsid w:val="03A50F69"/>
    <w:rsid w:val="03B3F989"/>
    <w:rsid w:val="03BA6AC1"/>
    <w:rsid w:val="03C90ECB"/>
    <w:rsid w:val="03CFEFD7"/>
    <w:rsid w:val="03D414FC"/>
    <w:rsid w:val="03D9FD6A"/>
    <w:rsid w:val="03E2BF97"/>
    <w:rsid w:val="043D54F9"/>
    <w:rsid w:val="0450C191"/>
    <w:rsid w:val="046C60BF"/>
    <w:rsid w:val="0489DF4C"/>
    <w:rsid w:val="04ACB98F"/>
    <w:rsid w:val="04C07ED1"/>
    <w:rsid w:val="04FE1A84"/>
    <w:rsid w:val="050856B8"/>
    <w:rsid w:val="05213A21"/>
    <w:rsid w:val="0522D381"/>
    <w:rsid w:val="052C6B13"/>
    <w:rsid w:val="0534D1B7"/>
    <w:rsid w:val="0540F771"/>
    <w:rsid w:val="0546CDC9"/>
    <w:rsid w:val="05479204"/>
    <w:rsid w:val="054AD6A9"/>
    <w:rsid w:val="05543FB4"/>
    <w:rsid w:val="056AEB67"/>
    <w:rsid w:val="056F33C8"/>
    <w:rsid w:val="059C7FC0"/>
    <w:rsid w:val="05A146B5"/>
    <w:rsid w:val="05A2133E"/>
    <w:rsid w:val="05AB608D"/>
    <w:rsid w:val="05B412E1"/>
    <w:rsid w:val="05B50E5F"/>
    <w:rsid w:val="05B9ACC7"/>
    <w:rsid w:val="05D90B1A"/>
    <w:rsid w:val="05E3104E"/>
    <w:rsid w:val="05E740C1"/>
    <w:rsid w:val="05F0D820"/>
    <w:rsid w:val="0618A956"/>
    <w:rsid w:val="061F50F0"/>
    <w:rsid w:val="0624C1C9"/>
    <w:rsid w:val="06273326"/>
    <w:rsid w:val="06505D6C"/>
    <w:rsid w:val="065E77DF"/>
    <w:rsid w:val="06785348"/>
    <w:rsid w:val="0688E538"/>
    <w:rsid w:val="068B5339"/>
    <w:rsid w:val="0696030C"/>
    <w:rsid w:val="0697D126"/>
    <w:rsid w:val="06A81CCA"/>
    <w:rsid w:val="06A9E4CF"/>
    <w:rsid w:val="06D4FAE6"/>
    <w:rsid w:val="06F57EE9"/>
    <w:rsid w:val="06F78374"/>
    <w:rsid w:val="0721F418"/>
    <w:rsid w:val="07303058"/>
    <w:rsid w:val="073CE34F"/>
    <w:rsid w:val="074B5E34"/>
    <w:rsid w:val="0758C479"/>
    <w:rsid w:val="0759A762"/>
    <w:rsid w:val="075C62D8"/>
    <w:rsid w:val="0765A319"/>
    <w:rsid w:val="076952D5"/>
    <w:rsid w:val="076D5DDA"/>
    <w:rsid w:val="07870F54"/>
    <w:rsid w:val="07878C75"/>
    <w:rsid w:val="079FF120"/>
    <w:rsid w:val="07A4BC76"/>
    <w:rsid w:val="07A7B0D3"/>
    <w:rsid w:val="07BD8E42"/>
    <w:rsid w:val="07BDC24C"/>
    <w:rsid w:val="07CF271B"/>
    <w:rsid w:val="07DC5E1F"/>
    <w:rsid w:val="07DFDCF5"/>
    <w:rsid w:val="07F0A769"/>
    <w:rsid w:val="07F2AA8C"/>
    <w:rsid w:val="08044CF2"/>
    <w:rsid w:val="0816D33F"/>
    <w:rsid w:val="0819B47B"/>
    <w:rsid w:val="081BB743"/>
    <w:rsid w:val="0823C914"/>
    <w:rsid w:val="0830C9F9"/>
    <w:rsid w:val="084FF8E6"/>
    <w:rsid w:val="087A0A81"/>
    <w:rsid w:val="0885FE5E"/>
    <w:rsid w:val="08B60AE5"/>
    <w:rsid w:val="08CACECC"/>
    <w:rsid w:val="08ECA6F1"/>
    <w:rsid w:val="08FCBEA3"/>
    <w:rsid w:val="0909ACEA"/>
    <w:rsid w:val="090DF020"/>
    <w:rsid w:val="091D64A9"/>
    <w:rsid w:val="094BE40C"/>
    <w:rsid w:val="0951CF1F"/>
    <w:rsid w:val="0954FF8B"/>
    <w:rsid w:val="096045D2"/>
    <w:rsid w:val="096D4382"/>
    <w:rsid w:val="097DF0C5"/>
    <w:rsid w:val="0987118C"/>
    <w:rsid w:val="099745C1"/>
    <w:rsid w:val="09B04C06"/>
    <w:rsid w:val="09BE6577"/>
    <w:rsid w:val="09C307BC"/>
    <w:rsid w:val="09EBDA96"/>
    <w:rsid w:val="09ED6C2B"/>
    <w:rsid w:val="0A055DCB"/>
    <w:rsid w:val="0A1806EF"/>
    <w:rsid w:val="0A1A02C3"/>
    <w:rsid w:val="0A3F1586"/>
    <w:rsid w:val="0A494ABA"/>
    <w:rsid w:val="0A5A2881"/>
    <w:rsid w:val="0A5C31A1"/>
    <w:rsid w:val="0A63B957"/>
    <w:rsid w:val="0A68F702"/>
    <w:rsid w:val="0A76BD16"/>
    <w:rsid w:val="0A77F8D8"/>
    <w:rsid w:val="0AD7475A"/>
    <w:rsid w:val="0AD98602"/>
    <w:rsid w:val="0AF047E2"/>
    <w:rsid w:val="0AF26443"/>
    <w:rsid w:val="0B1E4304"/>
    <w:rsid w:val="0B2D8173"/>
    <w:rsid w:val="0B666502"/>
    <w:rsid w:val="0B785E8F"/>
    <w:rsid w:val="0B868C98"/>
    <w:rsid w:val="0B87AAF7"/>
    <w:rsid w:val="0B8CCF34"/>
    <w:rsid w:val="0B97A94B"/>
    <w:rsid w:val="0B9E2C6B"/>
    <w:rsid w:val="0BAF72DE"/>
    <w:rsid w:val="0BD54EEB"/>
    <w:rsid w:val="0BF24F08"/>
    <w:rsid w:val="0BFDA355"/>
    <w:rsid w:val="0BFDEBB7"/>
    <w:rsid w:val="0C00A93F"/>
    <w:rsid w:val="0C04C763"/>
    <w:rsid w:val="0C2E34DA"/>
    <w:rsid w:val="0C521124"/>
    <w:rsid w:val="0C57DC8F"/>
    <w:rsid w:val="0C60106C"/>
    <w:rsid w:val="0C6604FC"/>
    <w:rsid w:val="0C8A6D5A"/>
    <w:rsid w:val="0C8C4911"/>
    <w:rsid w:val="0C954EE0"/>
    <w:rsid w:val="0CAFB8A1"/>
    <w:rsid w:val="0CBC5B86"/>
    <w:rsid w:val="0CBE2955"/>
    <w:rsid w:val="0CCD37E0"/>
    <w:rsid w:val="0CCFEC1F"/>
    <w:rsid w:val="0CE4D874"/>
    <w:rsid w:val="0CE8DAE7"/>
    <w:rsid w:val="0CF1EE9E"/>
    <w:rsid w:val="0CF83898"/>
    <w:rsid w:val="0D19CA88"/>
    <w:rsid w:val="0D325502"/>
    <w:rsid w:val="0D3CFE8D"/>
    <w:rsid w:val="0D40DA56"/>
    <w:rsid w:val="0D5DBA87"/>
    <w:rsid w:val="0D73F2D7"/>
    <w:rsid w:val="0D81CB84"/>
    <w:rsid w:val="0D8F60A6"/>
    <w:rsid w:val="0DA35FFA"/>
    <w:rsid w:val="0DB758FC"/>
    <w:rsid w:val="0DC71942"/>
    <w:rsid w:val="0DF3954C"/>
    <w:rsid w:val="0E3D4A75"/>
    <w:rsid w:val="0E5A7A07"/>
    <w:rsid w:val="0E64EA1B"/>
    <w:rsid w:val="0E771436"/>
    <w:rsid w:val="0E7B1702"/>
    <w:rsid w:val="0E7B87D6"/>
    <w:rsid w:val="0E8041F9"/>
    <w:rsid w:val="0E89C990"/>
    <w:rsid w:val="0E8F96C3"/>
    <w:rsid w:val="0E9D8434"/>
    <w:rsid w:val="0E9FFDBC"/>
    <w:rsid w:val="0EAA7B3E"/>
    <w:rsid w:val="0EEAA573"/>
    <w:rsid w:val="0F062C10"/>
    <w:rsid w:val="0F736A71"/>
    <w:rsid w:val="0F7B9D71"/>
    <w:rsid w:val="0FCC9AAD"/>
    <w:rsid w:val="0FEF8261"/>
    <w:rsid w:val="0FF3AA13"/>
    <w:rsid w:val="101C7FE3"/>
    <w:rsid w:val="10453955"/>
    <w:rsid w:val="104F1CEE"/>
    <w:rsid w:val="1063E81C"/>
    <w:rsid w:val="107ACE31"/>
    <w:rsid w:val="1086C327"/>
    <w:rsid w:val="10907C1A"/>
    <w:rsid w:val="1095B905"/>
    <w:rsid w:val="10B55920"/>
    <w:rsid w:val="10C17E69"/>
    <w:rsid w:val="10C4F335"/>
    <w:rsid w:val="11197CCC"/>
    <w:rsid w:val="11303EEF"/>
    <w:rsid w:val="11466530"/>
    <w:rsid w:val="114B7C35"/>
    <w:rsid w:val="115CBB9E"/>
    <w:rsid w:val="116A4455"/>
    <w:rsid w:val="1183233D"/>
    <w:rsid w:val="118FB378"/>
    <w:rsid w:val="11C18488"/>
    <w:rsid w:val="11D4F84D"/>
    <w:rsid w:val="11D962F1"/>
    <w:rsid w:val="11DDBA4F"/>
    <w:rsid w:val="11EBEAEC"/>
    <w:rsid w:val="11F32F53"/>
    <w:rsid w:val="11F5CFDE"/>
    <w:rsid w:val="12106FB0"/>
    <w:rsid w:val="12144F36"/>
    <w:rsid w:val="12149F86"/>
    <w:rsid w:val="121CBC77"/>
    <w:rsid w:val="12208364"/>
    <w:rsid w:val="122C24BB"/>
    <w:rsid w:val="12408FA4"/>
    <w:rsid w:val="12444789"/>
    <w:rsid w:val="128D2601"/>
    <w:rsid w:val="1295A0BB"/>
    <w:rsid w:val="12A1492F"/>
    <w:rsid w:val="12A6DDA0"/>
    <w:rsid w:val="12CF5DC6"/>
    <w:rsid w:val="130A1DD4"/>
    <w:rsid w:val="133ED93F"/>
    <w:rsid w:val="13449828"/>
    <w:rsid w:val="134A8559"/>
    <w:rsid w:val="1350C02A"/>
    <w:rsid w:val="135B3AC6"/>
    <w:rsid w:val="135E1021"/>
    <w:rsid w:val="13618B55"/>
    <w:rsid w:val="137176E7"/>
    <w:rsid w:val="13850096"/>
    <w:rsid w:val="139615BF"/>
    <w:rsid w:val="1396E0F2"/>
    <w:rsid w:val="13A18B8F"/>
    <w:rsid w:val="13B9CDB3"/>
    <w:rsid w:val="13D3D985"/>
    <w:rsid w:val="13D669AA"/>
    <w:rsid w:val="13EAC1EA"/>
    <w:rsid w:val="14074DA0"/>
    <w:rsid w:val="1409045A"/>
    <w:rsid w:val="1412ECDB"/>
    <w:rsid w:val="1416343F"/>
    <w:rsid w:val="1417C9F0"/>
    <w:rsid w:val="1418A279"/>
    <w:rsid w:val="14269FA8"/>
    <w:rsid w:val="142D3D57"/>
    <w:rsid w:val="1444DBB6"/>
    <w:rsid w:val="144E2B49"/>
    <w:rsid w:val="14831169"/>
    <w:rsid w:val="14831CF7"/>
    <w:rsid w:val="14A20A0A"/>
    <w:rsid w:val="14CA8B0C"/>
    <w:rsid w:val="14CD2D5D"/>
    <w:rsid w:val="14F51CAE"/>
    <w:rsid w:val="14FC40B7"/>
    <w:rsid w:val="14FC8545"/>
    <w:rsid w:val="14FD798F"/>
    <w:rsid w:val="150E710A"/>
    <w:rsid w:val="1535C6A6"/>
    <w:rsid w:val="15403BFB"/>
    <w:rsid w:val="156308D4"/>
    <w:rsid w:val="1569870B"/>
    <w:rsid w:val="1599B7C3"/>
    <w:rsid w:val="159BDCBD"/>
    <w:rsid w:val="15C63D53"/>
    <w:rsid w:val="15F239DE"/>
    <w:rsid w:val="15FDDCDE"/>
    <w:rsid w:val="16007C2B"/>
    <w:rsid w:val="161ED104"/>
    <w:rsid w:val="162092E1"/>
    <w:rsid w:val="162D3769"/>
    <w:rsid w:val="162D4734"/>
    <w:rsid w:val="16372F31"/>
    <w:rsid w:val="164BDDD4"/>
    <w:rsid w:val="16639545"/>
    <w:rsid w:val="166A502E"/>
    <w:rsid w:val="16A87849"/>
    <w:rsid w:val="16AC3535"/>
    <w:rsid w:val="16B4E301"/>
    <w:rsid w:val="16B5DD3E"/>
    <w:rsid w:val="16B70874"/>
    <w:rsid w:val="16B9DC68"/>
    <w:rsid w:val="16BB0C37"/>
    <w:rsid w:val="16E6A79E"/>
    <w:rsid w:val="16ECDFA8"/>
    <w:rsid w:val="16EDB06C"/>
    <w:rsid w:val="16FBFB8A"/>
    <w:rsid w:val="17022597"/>
    <w:rsid w:val="1702E709"/>
    <w:rsid w:val="170CC18A"/>
    <w:rsid w:val="17117AF4"/>
    <w:rsid w:val="17135B91"/>
    <w:rsid w:val="171F9DAE"/>
    <w:rsid w:val="1737BC86"/>
    <w:rsid w:val="1740776C"/>
    <w:rsid w:val="1744C9B5"/>
    <w:rsid w:val="176C069C"/>
    <w:rsid w:val="17796263"/>
    <w:rsid w:val="177F859A"/>
    <w:rsid w:val="178A0EC4"/>
    <w:rsid w:val="178EC3AC"/>
    <w:rsid w:val="178EEE44"/>
    <w:rsid w:val="17938007"/>
    <w:rsid w:val="17A09687"/>
    <w:rsid w:val="17C5FEC2"/>
    <w:rsid w:val="17D932A1"/>
    <w:rsid w:val="17DD0A0B"/>
    <w:rsid w:val="17E59442"/>
    <w:rsid w:val="17E9D377"/>
    <w:rsid w:val="181A28C5"/>
    <w:rsid w:val="182345A5"/>
    <w:rsid w:val="18272285"/>
    <w:rsid w:val="18460924"/>
    <w:rsid w:val="18463FAE"/>
    <w:rsid w:val="186824BE"/>
    <w:rsid w:val="18693111"/>
    <w:rsid w:val="18AFF8FB"/>
    <w:rsid w:val="18BF13C1"/>
    <w:rsid w:val="18DF2623"/>
    <w:rsid w:val="18E15BC8"/>
    <w:rsid w:val="18E9BDA8"/>
    <w:rsid w:val="1935DD8D"/>
    <w:rsid w:val="19508F0D"/>
    <w:rsid w:val="1955F3ED"/>
    <w:rsid w:val="19698628"/>
    <w:rsid w:val="196AA7F9"/>
    <w:rsid w:val="197BB009"/>
    <w:rsid w:val="197C3E29"/>
    <w:rsid w:val="197E4C79"/>
    <w:rsid w:val="198A1A51"/>
    <w:rsid w:val="19B8411E"/>
    <w:rsid w:val="19BA03CD"/>
    <w:rsid w:val="19BCD3AA"/>
    <w:rsid w:val="19CA47FD"/>
    <w:rsid w:val="19CC9CEB"/>
    <w:rsid w:val="19CD69FB"/>
    <w:rsid w:val="19D01DA2"/>
    <w:rsid w:val="19D3749E"/>
    <w:rsid w:val="19F517A5"/>
    <w:rsid w:val="1A0C8B8E"/>
    <w:rsid w:val="1A19F39E"/>
    <w:rsid w:val="1A2D975F"/>
    <w:rsid w:val="1A381667"/>
    <w:rsid w:val="1A420937"/>
    <w:rsid w:val="1A5DDE77"/>
    <w:rsid w:val="1A680D3A"/>
    <w:rsid w:val="1A6A1853"/>
    <w:rsid w:val="1A6EB6D1"/>
    <w:rsid w:val="1A6FFCD6"/>
    <w:rsid w:val="1A7A125E"/>
    <w:rsid w:val="1A9AF623"/>
    <w:rsid w:val="1AA65EF3"/>
    <w:rsid w:val="1AAD3470"/>
    <w:rsid w:val="1AB2188C"/>
    <w:rsid w:val="1AE674EB"/>
    <w:rsid w:val="1B1EC9D7"/>
    <w:rsid w:val="1B33C8D8"/>
    <w:rsid w:val="1B35B4F2"/>
    <w:rsid w:val="1B548A93"/>
    <w:rsid w:val="1B583754"/>
    <w:rsid w:val="1B594E17"/>
    <w:rsid w:val="1B6622F6"/>
    <w:rsid w:val="1B72B150"/>
    <w:rsid w:val="1B7A74CE"/>
    <w:rsid w:val="1B85371D"/>
    <w:rsid w:val="1BAA1B5F"/>
    <w:rsid w:val="1BADD674"/>
    <w:rsid w:val="1BB0A380"/>
    <w:rsid w:val="1BB7297A"/>
    <w:rsid w:val="1BBC2637"/>
    <w:rsid w:val="1BCC930E"/>
    <w:rsid w:val="1BD5D62D"/>
    <w:rsid w:val="1BF7863D"/>
    <w:rsid w:val="1C0421E6"/>
    <w:rsid w:val="1C115CDD"/>
    <w:rsid w:val="1C308B25"/>
    <w:rsid w:val="1C34332B"/>
    <w:rsid w:val="1C3B6A7C"/>
    <w:rsid w:val="1C42F823"/>
    <w:rsid w:val="1C6C441D"/>
    <w:rsid w:val="1C780590"/>
    <w:rsid w:val="1C7E3004"/>
    <w:rsid w:val="1CC9A861"/>
    <w:rsid w:val="1CCD41C8"/>
    <w:rsid w:val="1CDBB59E"/>
    <w:rsid w:val="1CE89FB5"/>
    <w:rsid w:val="1CF25F16"/>
    <w:rsid w:val="1CF392FC"/>
    <w:rsid w:val="1CFCAC42"/>
    <w:rsid w:val="1CFD05C1"/>
    <w:rsid w:val="1D00D877"/>
    <w:rsid w:val="1D029ED6"/>
    <w:rsid w:val="1D0FDB2D"/>
    <w:rsid w:val="1D101C17"/>
    <w:rsid w:val="1D2129B1"/>
    <w:rsid w:val="1D5804CA"/>
    <w:rsid w:val="1D7BA194"/>
    <w:rsid w:val="1D7EB0FD"/>
    <w:rsid w:val="1D917756"/>
    <w:rsid w:val="1DA7B24B"/>
    <w:rsid w:val="1DBCD3DC"/>
    <w:rsid w:val="1DC4DD6F"/>
    <w:rsid w:val="1E1B4118"/>
    <w:rsid w:val="1E2BB1A0"/>
    <w:rsid w:val="1E336BC1"/>
    <w:rsid w:val="1E4E97FD"/>
    <w:rsid w:val="1E520261"/>
    <w:rsid w:val="1E5B48F5"/>
    <w:rsid w:val="1E750B31"/>
    <w:rsid w:val="1E869FFA"/>
    <w:rsid w:val="1E894961"/>
    <w:rsid w:val="1E912A7F"/>
    <w:rsid w:val="1E9A4530"/>
    <w:rsid w:val="1EAD43AC"/>
    <w:rsid w:val="1EC82318"/>
    <w:rsid w:val="1EC888C8"/>
    <w:rsid w:val="1ED848B1"/>
    <w:rsid w:val="1EF1CB60"/>
    <w:rsid w:val="1F06229B"/>
    <w:rsid w:val="1F168808"/>
    <w:rsid w:val="1F389572"/>
    <w:rsid w:val="1F5FD354"/>
    <w:rsid w:val="1F628109"/>
    <w:rsid w:val="1F6BA352"/>
    <w:rsid w:val="1F8576D7"/>
    <w:rsid w:val="1F87E8DF"/>
    <w:rsid w:val="1F87FF65"/>
    <w:rsid w:val="1FC199ED"/>
    <w:rsid w:val="1FE6EEEC"/>
    <w:rsid w:val="1FE72F95"/>
    <w:rsid w:val="1FED5724"/>
    <w:rsid w:val="1FF04B60"/>
    <w:rsid w:val="1FFFA5AC"/>
    <w:rsid w:val="20040051"/>
    <w:rsid w:val="200EE590"/>
    <w:rsid w:val="2020CBC6"/>
    <w:rsid w:val="202636C9"/>
    <w:rsid w:val="202D8714"/>
    <w:rsid w:val="2034F939"/>
    <w:rsid w:val="204DCE9A"/>
    <w:rsid w:val="204E8A28"/>
    <w:rsid w:val="20645929"/>
    <w:rsid w:val="20647221"/>
    <w:rsid w:val="206BFCE3"/>
    <w:rsid w:val="20817E9C"/>
    <w:rsid w:val="209596D0"/>
    <w:rsid w:val="20B16FCA"/>
    <w:rsid w:val="20B43206"/>
    <w:rsid w:val="20C86E92"/>
    <w:rsid w:val="20D81B82"/>
    <w:rsid w:val="210308D5"/>
    <w:rsid w:val="21057C25"/>
    <w:rsid w:val="2114DDCE"/>
    <w:rsid w:val="212AA80C"/>
    <w:rsid w:val="2134C208"/>
    <w:rsid w:val="21419450"/>
    <w:rsid w:val="2144AF6D"/>
    <w:rsid w:val="2146DA6E"/>
    <w:rsid w:val="214C09E7"/>
    <w:rsid w:val="214FE3E7"/>
    <w:rsid w:val="21626237"/>
    <w:rsid w:val="2162E89E"/>
    <w:rsid w:val="21876E1C"/>
    <w:rsid w:val="218E99C0"/>
    <w:rsid w:val="218F0323"/>
    <w:rsid w:val="21918398"/>
    <w:rsid w:val="219CE3BF"/>
    <w:rsid w:val="21AAB489"/>
    <w:rsid w:val="21B65BF2"/>
    <w:rsid w:val="21C107B9"/>
    <w:rsid w:val="21D7FCC6"/>
    <w:rsid w:val="21E5A793"/>
    <w:rsid w:val="21FBF9B2"/>
    <w:rsid w:val="2201EB7A"/>
    <w:rsid w:val="2218E2CF"/>
    <w:rsid w:val="2222DF6C"/>
    <w:rsid w:val="2224366A"/>
    <w:rsid w:val="2231A56D"/>
    <w:rsid w:val="223A49FB"/>
    <w:rsid w:val="2243F189"/>
    <w:rsid w:val="225DD421"/>
    <w:rsid w:val="226F24C9"/>
    <w:rsid w:val="227677DA"/>
    <w:rsid w:val="227E82C5"/>
    <w:rsid w:val="22853215"/>
    <w:rsid w:val="2289D48E"/>
    <w:rsid w:val="228A5BAA"/>
    <w:rsid w:val="229362C0"/>
    <w:rsid w:val="22AD43FF"/>
    <w:rsid w:val="22BFE83C"/>
    <w:rsid w:val="22C8670C"/>
    <w:rsid w:val="22EFB79E"/>
    <w:rsid w:val="231111F0"/>
    <w:rsid w:val="2351E2C9"/>
    <w:rsid w:val="236C842E"/>
    <w:rsid w:val="23711E54"/>
    <w:rsid w:val="238881B6"/>
    <w:rsid w:val="2399C4EB"/>
    <w:rsid w:val="239CD3C0"/>
    <w:rsid w:val="23A20FEC"/>
    <w:rsid w:val="23B6B00D"/>
    <w:rsid w:val="23CC67D5"/>
    <w:rsid w:val="23EB48BD"/>
    <w:rsid w:val="23FBC5CA"/>
    <w:rsid w:val="23FD3772"/>
    <w:rsid w:val="24089D7D"/>
    <w:rsid w:val="242798A8"/>
    <w:rsid w:val="2441B24A"/>
    <w:rsid w:val="244E807A"/>
    <w:rsid w:val="244FEA41"/>
    <w:rsid w:val="24507369"/>
    <w:rsid w:val="246B9E84"/>
    <w:rsid w:val="248933A1"/>
    <w:rsid w:val="2493DE9E"/>
    <w:rsid w:val="249EF9AC"/>
    <w:rsid w:val="24A00401"/>
    <w:rsid w:val="24B453F2"/>
    <w:rsid w:val="24BC9E83"/>
    <w:rsid w:val="24C06C3D"/>
    <w:rsid w:val="24E35127"/>
    <w:rsid w:val="24FD8E13"/>
    <w:rsid w:val="25104910"/>
    <w:rsid w:val="251DA5AA"/>
    <w:rsid w:val="2520B2F3"/>
    <w:rsid w:val="2523060E"/>
    <w:rsid w:val="253E917D"/>
    <w:rsid w:val="25404183"/>
    <w:rsid w:val="2546D806"/>
    <w:rsid w:val="2549F24F"/>
    <w:rsid w:val="254C2B7F"/>
    <w:rsid w:val="254E79C9"/>
    <w:rsid w:val="255AB202"/>
    <w:rsid w:val="256F0A6C"/>
    <w:rsid w:val="257342E9"/>
    <w:rsid w:val="257B2A5F"/>
    <w:rsid w:val="2597E06C"/>
    <w:rsid w:val="25A1F3C2"/>
    <w:rsid w:val="25A41839"/>
    <w:rsid w:val="25B9C390"/>
    <w:rsid w:val="25D3EF79"/>
    <w:rsid w:val="25DDBCAE"/>
    <w:rsid w:val="25FB6A91"/>
    <w:rsid w:val="260A97E8"/>
    <w:rsid w:val="261A4B91"/>
    <w:rsid w:val="263649AD"/>
    <w:rsid w:val="2677D1C7"/>
    <w:rsid w:val="269594DF"/>
    <w:rsid w:val="269849E5"/>
    <w:rsid w:val="269FF2C8"/>
    <w:rsid w:val="26AFFE68"/>
    <w:rsid w:val="26C2DE12"/>
    <w:rsid w:val="270455AE"/>
    <w:rsid w:val="2707EDDB"/>
    <w:rsid w:val="270F613E"/>
    <w:rsid w:val="271BF835"/>
    <w:rsid w:val="271EA4BE"/>
    <w:rsid w:val="273298DD"/>
    <w:rsid w:val="273ACF3D"/>
    <w:rsid w:val="273BA029"/>
    <w:rsid w:val="27485962"/>
    <w:rsid w:val="2749FFA1"/>
    <w:rsid w:val="27621DE2"/>
    <w:rsid w:val="27834C99"/>
    <w:rsid w:val="278B03D4"/>
    <w:rsid w:val="27B43A64"/>
    <w:rsid w:val="27B6C1CC"/>
    <w:rsid w:val="27C7CD5A"/>
    <w:rsid w:val="27D2F5DE"/>
    <w:rsid w:val="27D8267A"/>
    <w:rsid w:val="27D9DA21"/>
    <w:rsid w:val="27F1659E"/>
    <w:rsid w:val="27FF670E"/>
    <w:rsid w:val="28062BE2"/>
    <w:rsid w:val="28123CE3"/>
    <w:rsid w:val="2838C990"/>
    <w:rsid w:val="28545219"/>
    <w:rsid w:val="2855551A"/>
    <w:rsid w:val="28751F8F"/>
    <w:rsid w:val="287658F9"/>
    <w:rsid w:val="28EE0A5E"/>
    <w:rsid w:val="28EFB35C"/>
    <w:rsid w:val="28FEF2C3"/>
    <w:rsid w:val="292EC393"/>
    <w:rsid w:val="293D0C44"/>
    <w:rsid w:val="295E7457"/>
    <w:rsid w:val="297C3E96"/>
    <w:rsid w:val="2980ECAB"/>
    <w:rsid w:val="29CC5DFC"/>
    <w:rsid w:val="29D3297B"/>
    <w:rsid w:val="29DAB683"/>
    <w:rsid w:val="29E8D789"/>
    <w:rsid w:val="29EF6BF8"/>
    <w:rsid w:val="2A025692"/>
    <w:rsid w:val="2A11218B"/>
    <w:rsid w:val="2A1127EF"/>
    <w:rsid w:val="2A4976A4"/>
    <w:rsid w:val="2A4A1CEC"/>
    <w:rsid w:val="2A6074D7"/>
    <w:rsid w:val="2A62BCB6"/>
    <w:rsid w:val="2A67B9A8"/>
    <w:rsid w:val="2A876E34"/>
    <w:rsid w:val="2A9064AF"/>
    <w:rsid w:val="2AB91A0C"/>
    <w:rsid w:val="2ACF4DB2"/>
    <w:rsid w:val="2AED055D"/>
    <w:rsid w:val="2AFA518B"/>
    <w:rsid w:val="2B118A52"/>
    <w:rsid w:val="2B136FD4"/>
    <w:rsid w:val="2B1A6FFF"/>
    <w:rsid w:val="2B1CBD0C"/>
    <w:rsid w:val="2B2D5F28"/>
    <w:rsid w:val="2B379B11"/>
    <w:rsid w:val="2B56B0CF"/>
    <w:rsid w:val="2B65EF6E"/>
    <w:rsid w:val="2B67598C"/>
    <w:rsid w:val="2B67868F"/>
    <w:rsid w:val="2B6FB59F"/>
    <w:rsid w:val="2B78F8F8"/>
    <w:rsid w:val="2B7D607E"/>
    <w:rsid w:val="2BC64CDB"/>
    <w:rsid w:val="2BCC7505"/>
    <w:rsid w:val="2BF25992"/>
    <w:rsid w:val="2C198B9B"/>
    <w:rsid w:val="2C207A23"/>
    <w:rsid w:val="2C391E7F"/>
    <w:rsid w:val="2C5A4DD3"/>
    <w:rsid w:val="2C8DCB1B"/>
    <w:rsid w:val="2C98C0DC"/>
    <w:rsid w:val="2CEDED64"/>
    <w:rsid w:val="2CFC5974"/>
    <w:rsid w:val="2D10F66F"/>
    <w:rsid w:val="2D2C0C9C"/>
    <w:rsid w:val="2D5D6E57"/>
    <w:rsid w:val="2D610A4D"/>
    <w:rsid w:val="2D6BB6BC"/>
    <w:rsid w:val="2D708D8C"/>
    <w:rsid w:val="2D713F8D"/>
    <w:rsid w:val="2D724F69"/>
    <w:rsid w:val="2D7E530F"/>
    <w:rsid w:val="2D7F0CD1"/>
    <w:rsid w:val="2D8BA7CB"/>
    <w:rsid w:val="2D8E1F8B"/>
    <w:rsid w:val="2D9C4DD3"/>
    <w:rsid w:val="2DF35157"/>
    <w:rsid w:val="2DF7870D"/>
    <w:rsid w:val="2E0F6467"/>
    <w:rsid w:val="2E17226E"/>
    <w:rsid w:val="2E25C5C7"/>
    <w:rsid w:val="2E31F8C4"/>
    <w:rsid w:val="2E3FAB8B"/>
    <w:rsid w:val="2E47DC83"/>
    <w:rsid w:val="2E731F73"/>
    <w:rsid w:val="2E85B86C"/>
    <w:rsid w:val="2EBA2589"/>
    <w:rsid w:val="2EC475B1"/>
    <w:rsid w:val="2ECED6C4"/>
    <w:rsid w:val="2ED1D1D2"/>
    <w:rsid w:val="2EFCC455"/>
    <w:rsid w:val="2F0458C2"/>
    <w:rsid w:val="2F131BCA"/>
    <w:rsid w:val="2F18AB78"/>
    <w:rsid w:val="2F1E6060"/>
    <w:rsid w:val="2F2C4792"/>
    <w:rsid w:val="2F4B7D2B"/>
    <w:rsid w:val="2F850245"/>
    <w:rsid w:val="2F92AB71"/>
    <w:rsid w:val="2F940F4D"/>
    <w:rsid w:val="2F951D50"/>
    <w:rsid w:val="2F95F695"/>
    <w:rsid w:val="2FA2FCB8"/>
    <w:rsid w:val="2FB6A00E"/>
    <w:rsid w:val="2FC6E59F"/>
    <w:rsid w:val="2FC8D788"/>
    <w:rsid w:val="2FF6D778"/>
    <w:rsid w:val="30046855"/>
    <w:rsid w:val="300D7A20"/>
    <w:rsid w:val="300DDD29"/>
    <w:rsid w:val="302162DE"/>
    <w:rsid w:val="302BC6F9"/>
    <w:rsid w:val="3055F15B"/>
    <w:rsid w:val="305954AF"/>
    <w:rsid w:val="306C60AD"/>
    <w:rsid w:val="3080D12C"/>
    <w:rsid w:val="3096DAD7"/>
    <w:rsid w:val="309F8FEC"/>
    <w:rsid w:val="30C71F54"/>
    <w:rsid w:val="30C99DA9"/>
    <w:rsid w:val="30CF1B67"/>
    <w:rsid w:val="30D0B3A7"/>
    <w:rsid w:val="30DB64AF"/>
    <w:rsid w:val="30E3DEE1"/>
    <w:rsid w:val="30EBA234"/>
    <w:rsid w:val="30F9D5DD"/>
    <w:rsid w:val="311D2C50"/>
    <w:rsid w:val="31350939"/>
    <w:rsid w:val="315702DB"/>
    <w:rsid w:val="316ED95D"/>
    <w:rsid w:val="31899689"/>
    <w:rsid w:val="319C4A3D"/>
    <w:rsid w:val="31AF2580"/>
    <w:rsid w:val="31B339CA"/>
    <w:rsid w:val="31BBB5C0"/>
    <w:rsid w:val="31D5A6AA"/>
    <w:rsid w:val="31E15580"/>
    <w:rsid w:val="31E2D860"/>
    <w:rsid w:val="3231D7E1"/>
    <w:rsid w:val="323A031E"/>
    <w:rsid w:val="3260A13C"/>
    <w:rsid w:val="32762FFD"/>
    <w:rsid w:val="32A337FB"/>
    <w:rsid w:val="32D1D4D2"/>
    <w:rsid w:val="32EE076B"/>
    <w:rsid w:val="331B81B0"/>
    <w:rsid w:val="3321026B"/>
    <w:rsid w:val="336889AB"/>
    <w:rsid w:val="33730EE6"/>
    <w:rsid w:val="338D7320"/>
    <w:rsid w:val="3391DE77"/>
    <w:rsid w:val="3394976D"/>
    <w:rsid w:val="33A320CA"/>
    <w:rsid w:val="33A6F26C"/>
    <w:rsid w:val="33B6BF77"/>
    <w:rsid w:val="33E8DF7E"/>
    <w:rsid w:val="33EC257B"/>
    <w:rsid w:val="33F19198"/>
    <w:rsid w:val="33FDA161"/>
    <w:rsid w:val="340AD640"/>
    <w:rsid w:val="341B5A51"/>
    <w:rsid w:val="342DF4DB"/>
    <w:rsid w:val="344344A5"/>
    <w:rsid w:val="34497D98"/>
    <w:rsid w:val="344B6CA2"/>
    <w:rsid w:val="345AA37F"/>
    <w:rsid w:val="345F416E"/>
    <w:rsid w:val="346212BB"/>
    <w:rsid w:val="346225C6"/>
    <w:rsid w:val="346D1287"/>
    <w:rsid w:val="3480306C"/>
    <w:rsid w:val="3487C4D9"/>
    <w:rsid w:val="34B1ECF4"/>
    <w:rsid w:val="34B9793C"/>
    <w:rsid w:val="34BA40AA"/>
    <w:rsid w:val="34BAA26D"/>
    <w:rsid w:val="34BDE144"/>
    <w:rsid w:val="34C335EF"/>
    <w:rsid w:val="34CAD040"/>
    <w:rsid w:val="34CE1A9D"/>
    <w:rsid w:val="34CE5848"/>
    <w:rsid w:val="34EF41A9"/>
    <w:rsid w:val="3507688A"/>
    <w:rsid w:val="351EB75D"/>
    <w:rsid w:val="352DAED8"/>
    <w:rsid w:val="354BB55D"/>
    <w:rsid w:val="357330E3"/>
    <w:rsid w:val="35939D61"/>
    <w:rsid w:val="3597AB06"/>
    <w:rsid w:val="359B7604"/>
    <w:rsid w:val="35D516EC"/>
    <w:rsid w:val="35E0FD48"/>
    <w:rsid w:val="35E18C57"/>
    <w:rsid w:val="35E60918"/>
    <w:rsid w:val="35E807BC"/>
    <w:rsid w:val="35F28BB0"/>
    <w:rsid w:val="35FF38E2"/>
    <w:rsid w:val="36042E70"/>
    <w:rsid w:val="361BE427"/>
    <w:rsid w:val="36207089"/>
    <w:rsid w:val="364F97F1"/>
    <w:rsid w:val="368A3F85"/>
    <w:rsid w:val="3692BBC3"/>
    <w:rsid w:val="369957BE"/>
    <w:rsid w:val="369FD916"/>
    <w:rsid w:val="36ADB3F8"/>
    <w:rsid w:val="36B0C330"/>
    <w:rsid w:val="36B6476B"/>
    <w:rsid w:val="36C3FAA9"/>
    <w:rsid w:val="36D1412D"/>
    <w:rsid w:val="36D5BDA4"/>
    <w:rsid w:val="36DB2A25"/>
    <w:rsid w:val="36F25B16"/>
    <w:rsid w:val="36FF619E"/>
    <w:rsid w:val="3704413F"/>
    <w:rsid w:val="3716B6E1"/>
    <w:rsid w:val="371C8072"/>
    <w:rsid w:val="372B9255"/>
    <w:rsid w:val="372C72B6"/>
    <w:rsid w:val="3737830B"/>
    <w:rsid w:val="374235AC"/>
    <w:rsid w:val="376BD025"/>
    <w:rsid w:val="376D446F"/>
    <w:rsid w:val="37764969"/>
    <w:rsid w:val="3794C7C1"/>
    <w:rsid w:val="37D00E0F"/>
    <w:rsid w:val="37F08915"/>
    <w:rsid w:val="37FDBA93"/>
    <w:rsid w:val="38235F88"/>
    <w:rsid w:val="3837F860"/>
    <w:rsid w:val="3854DE49"/>
    <w:rsid w:val="3854EBD1"/>
    <w:rsid w:val="385F37B7"/>
    <w:rsid w:val="386EB17B"/>
    <w:rsid w:val="387A03A4"/>
    <w:rsid w:val="387B6BBB"/>
    <w:rsid w:val="38834108"/>
    <w:rsid w:val="389E4130"/>
    <w:rsid w:val="389F74F0"/>
    <w:rsid w:val="38BAD045"/>
    <w:rsid w:val="38C7A608"/>
    <w:rsid w:val="38C8F4FB"/>
    <w:rsid w:val="38F0E3F6"/>
    <w:rsid w:val="3914E5E3"/>
    <w:rsid w:val="39224DEF"/>
    <w:rsid w:val="393559C6"/>
    <w:rsid w:val="39399A86"/>
    <w:rsid w:val="394CE29D"/>
    <w:rsid w:val="395F2124"/>
    <w:rsid w:val="3967AB1A"/>
    <w:rsid w:val="3967D4A3"/>
    <w:rsid w:val="396D5E61"/>
    <w:rsid w:val="397F4BCB"/>
    <w:rsid w:val="398D1865"/>
    <w:rsid w:val="39956297"/>
    <w:rsid w:val="399F3ADB"/>
    <w:rsid w:val="39A8C1DF"/>
    <w:rsid w:val="39B4E6C0"/>
    <w:rsid w:val="39B90819"/>
    <w:rsid w:val="39C2D172"/>
    <w:rsid w:val="39CEB52B"/>
    <w:rsid w:val="39D3D7BE"/>
    <w:rsid w:val="39E9D18D"/>
    <w:rsid w:val="39EA352C"/>
    <w:rsid w:val="39F93474"/>
    <w:rsid w:val="39FC26E2"/>
    <w:rsid w:val="3A0EBD86"/>
    <w:rsid w:val="3A0FC340"/>
    <w:rsid w:val="3A144FCD"/>
    <w:rsid w:val="3A2826C8"/>
    <w:rsid w:val="3A3AA6EF"/>
    <w:rsid w:val="3A3BE191"/>
    <w:rsid w:val="3A775869"/>
    <w:rsid w:val="3A7E75B6"/>
    <w:rsid w:val="3A7F1F67"/>
    <w:rsid w:val="3A7FDFBF"/>
    <w:rsid w:val="3A80A532"/>
    <w:rsid w:val="3AAF080A"/>
    <w:rsid w:val="3B199F3A"/>
    <w:rsid w:val="3B3101AD"/>
    <w:rsid w:val="3B328A1B"/>
    <w:rsid w:val="3B368EEF"/>
    <w:rsid w:val="3B443661"/>
    <w:rsid w:val="3B4D9E71"/>
    <w:rsid w:val="3B5EC1E8"/>
    <w:rsid w:val="3B6F9B8A"/>
    <w:rsid w:val="3B71A79D"/>
    <w:rsid w:val="3B731292"/>
    <w:rsid w:val="3B818CF1"/>
    <w:rsid w:val="3B8CB360"/>
    <w:rsid w:val="3BE7594F"/>
    <w:rsid w:val="3BEDB908"/>
    <w:rsid w:val="3BF271C7"/>
    <w:rsid w:val="3BF66A3F"/>
    <w:rsid w:val="3BF71368"/>
    <w:rsid w:val="3BFA61AF"/>
    <w:rsid w:val="3BFA85B7"/>
    <w:rsid w:val="3BFBF6B1"/>
    <w:rsid w:val="3C21B677"/>
    <w:rsid w:val="3C2CD14D"/>
    <w:rsid w:val="3C3706EE"/>
    <w:rsid w:val="3C710C2F"/>
    <w:rsid w:val="3C9B6340"/>
    <w:rsid w:val="3CA638E6"/>
    <w:rsid w:val="3CEC696B"/>
    <w:rsid w:val="3D0D1798"/>
    <w:rsid w:val="3D16D902"/>
    <w:rsid w:val="3D44E4A5"/>
    <w:rsid w:val="3D7D1216"/>
    <w:rsid w:val="3D80DD16"/>
    <w:rsid w:val="3D88ACA4"/>
    <w:rsid w:val="3D95B56F"/>
    <w:rsid w:val="3D9CCA82"/>
    <w:rsid w:val="3DA668B4"/>
    <w:rsid w:val="3DAA8AF2"/>
    <w:rsid w:val="3DB90489"/>
    <w:rsid w:val="3DD6B5C2"/>
    <w:rsid w:val="3DEFDC1A"/>
    <w:rsid w:val="3DF04B5B"/>
    <w:rsid w:val="3DFE30E6"/>
    <w:rsid w:val="3E1849B8"/>
    <w:rsid w:val="3E186F2B"/>
    <w:rsid w:val="3E1A0F8F"/>
    <w:rsid w:val="3E2BD80F"/>
    <w:rsid w:val="3E356C2A"/>
    <w:rsid w:val="3E57BCCC"/>
    <w:rsid w:val="3E64A4EE"/>
    <w:rsid w:val="3E88D3F9"/>
    <w:rsid w:val="3EAA0349"/>
    <w:rsid w:val="3EB3C71A"/>
    <w:rsid w:val="3EB72BB4"/>
    <w:rsid w:val="3EBA8DF2"/>
    <w:rsid w:val="3ECC3618"/>
    <w:rsid w:val="3ED3D9BE"/>
    <w:rsid w:val="3EE0B506"/>
    <w:rsid w:val="3EEF6343"/>
    <w:rsid w:val="3EF7D23A"/>
    <w:rsid w:val="3F1F0E22"/>
    <w:rsid w:val="3F20A8CE"/>
    <w:rsid w:val="3F2858F9"/>
    <w:rsid w:val="3F2C0E13"/>
    <w:rsid w:val="3F2E26A0"/>
    <w:rsid w:val="3F54C395"/>
    <w:rsid w:val="3F67678D"/>
    <w:rsid w:val="3F7DB34E"/>
    <w:rsid w:val="3FA5E959"/>
    <w:rsid w:val="3FAC4AD2"/>
    <w:rsid w:val="3FB89516"/>
    <w:rsid w:val="3FD00BAD"/>
    <w:rsid w:val="3FDFCFAF"/>
    <w:rsid w:val="3FE45B6F"/>
    <w:rsid w:val="400AF708"/>
    <w:rsid w:val="401F6C03"/>
    <w:rsid w:val="40361FA0"/>
    <w:rsid w:val="403B4D34"/>
    <w:rsid w:val="4045D357"/>
    <w:rsid w:val="40758865"/>
    <w:rsid w:val="408EE656"/>
    <w:rsid w:val="408F77E9"/>
    <w:rsid w:val="4095A64E"/>
    <w:rsid w:val="409D7B7E"/>
    <w:rsid w:val="40B1D14C"/>
    <w:rsid w:val="40BCA4A8"/>
    <w:rsid w:val="40C43228"/>
    <w:rsid w:val="40D5B706"/>
    <w:rsid w:val="40E2A66E"/>
    <w:rsid w:val="40FE88E6"/>
    <w:rsid w:val="41091ED7"/>
    <w:rsid w:val="411EAFB4"/>
    <w:rsid w:val="4127434E"/>
    <w:rsid w:val="412BB612"/>
    <w:rsid w:val="41744A9B"/>
    <w:rsid w:val="4176D616"/>
    <w:rsid w:val="4182B482"/>
    <w:rsid w:val="418F5D8E"/>
    <w:rsid w:val="418FD827"/>
    <w:rsid w:val="41939096"/>
    <w:rsid w:val="41995D26"/>
    <w:rsid w:val="41A2919E"/>
    <w:rsid w:val="41A7BBA2"/>
    <w:rsid w:val="41AAFC2E"/>
    <w:rsid w:val="41B7FAFB"/>
    <w:rsid w:val="41E44398"/>
    <w:rsid w:val="41E4AEEB"/>
    <w:rsid w:val="41F57A45"/>
    <w:rsid w:val="4224ABC1"/>
    <w:rsid w:val="422FD503"/>
    <w:rsid w:val="424F4EEC"/>
    <w:rsid w:val="424FED1A"/>
    <w:rsid w:val="42544E39"/>
    <w:rsid w:val="4266B663"/>
    <w:rsid w:val="4272FE2D"/>
    <w:rsid w:val="427672B1"/>
    <w:rsid w:val="42C6A44A"/>
    <w:rsid w:val="42D03EA0"/>
    <w:rsid w:val="42F69047"/>
    <w:rsid w:val="430C18BB"/>
    <w:rsid w:val="432B2DEF"/>
    <w:rsid w:val="43639A34"/>
    <w:rsid w:val="439266EA"/>
    <w:rsid w:val="439B3731"/>
    <w:rsid w:val="43A83656"/>
    <w:rsid w:val="43B8A419"/>
    <w:rsid w:val="43B95F70"/>
    <w:rsid w:val="43D9BC8A"/>
    <w:rsid w:val="43DF810C"/>
    <w:rsid w:val="43E38D59"/>
    <w:rsid w:val="43F75045"/>
    <w:rsid w:val="4404F8F5"/>
    <w:rsid w:val="440C5624"/>
    <w:rsid w:val="442B6E8F"/>
    <w:rsid w:val="44484481"/>
    <w:rsid w:val="4448CAE6"/>
    <w:rsid w:val="44591034"/>
    <w:rsid w:val="445B7000"/>
    <w:rsid w:val="445D4787"/>
    <w:rsid w:val="446B6428"/>
    <w:rsid w:val="44826B24"/>
    <w:rsid w:val="44867F1A"/>
    <w:rsid w:val="4486C2C1"/>
    <w:rsid w:val="44B80BB5"/>
    <w:rsid w:val="44D24DFD"/>
    <w:rsid w:val="44FB821E"/>
    <w:rsid w:val="4501CB4D"/>
    <w:rsid w:val="45090201"/>
    <w:rsid w:val="4513DDC7"/>
    <w:rsid w:val="454F9085"/>
    <w:rsid w:val="4551267F"/>
    <w:rsid w:val="45615F63"/>
    <w:rsid w:val="45827B53"/>
    <w:rsid w:val="45BF03B4"/>
    <w:rsid w:val="45C45E29"/>
    <w:rsid w:val="45D2FA1B"/>
    <w:rsid w:val="45D7B874"/>
    <w:rsid w:val="45DB5F8D"/>
    <w:rsid w:val="45EB4002"/>
    <w:rsid w:val="46028B7B"/>
    <w:rsid w:val="46044674"/>
    <w:rsid w:val="460B4934"/>
    <w:rsid w:val="4624643D"/>
    <w:rsid w:val="4627CB08"/>
    <w:rsid w:val="463AF990"/>
    <w:rsid w:val="4647FFD1"/>
    <w:rsid w:val="466A3C50"/>
    <w:rsid w:val="4683FF07"/>
    <w:rsid w:val="468F4E7C"/>
    <w:rsid w:val="4692CB42"/>
    <w:rsid w:val="46AF7480"/>
    <w:rsid w:val="46D4C586"/>
    <w:rsid w:val="46D7EF58"/>
    <w:rsid w:val="46F69801"/>
    <w:rsid w:val="471D30F8"/>
    <w:rsid w:val="473A42FD"/>
    <w:rsid w:val="4743E0D2"/>
    <w:rsid w:val="4749C422"/>
    <w:rsid w:val="478CD0EC"/>
    <w:rsid w:val="47A5AB65"/>
    <w:rsid w:val="47BDE273"/>
    <w:rsid w:val="47E3A653"/>
    <w:rsid w:val="4808ABD1"/>
    <w:rsid w:val="480B852D"/>
    <w:rsid w:val="4822C5DA"/>
    <w:rsid w:val="48296107"/>
    <w:rsid w:val="483C75D0"/>
    <w:rsid w:val="48434E00"/>
    <w:rsid w:val="4858EFA5"/>
    <w:rsid w:val="486061DA"/>
    <w:rsid w:val="486DD704"/>
    <w:rsid w:val="487888C4"/>
    <w:rsid w:val="488F5C99"/>
    <w:rsid w:val="489F1ABD"/>
    <w:rsid w:val="48B22708"/>
    <w:rsid w:val="48BDC674"/>
    <w:rsid w:val="48BFCA4A"/>
    <w:rsid w:val="48CE0D09"/>
    <w:rsid w:val="48CF2DA6"/>
    <w:rsid w:val="48DFB133"/>
    <w:rsid w:val="48E5B75D"/>
    <w:rsid w:val="48FA2879"/>
    <w:rsid w:val="4902E281"/>
    <w:rsid w:val="4916C134"/>
    <w:rsid w:val="49230421"/>
    <w:rsid w:val="4933E29F"/>
    <w:rsid w:val="49674AD7"/>
    <w:rsid w:val="497BD012"/>
    <w:rsid w:val="49852663"/>
    <w:rsid w:val="49948993"/>
    <w:rsid w:val="49A79AE0"/>
    <w:rsid w:val="49A93858"/>
    <w:rsid w:val="49B72832"/>
    <w:rsid w:val="49C17A18"/>
    <w:rsid w:val="49D94197"/>
    <w:rsid w:val="4A10D504"/>
    <w:rsid w:val="4A18F8A3"/>
    <w:rsid w:val="4A4A5E91"/>
    <w:rsid w:val="4A50653A"/>
    <w:rsid w:val="4A52BDBA"/>
    <w:rsid w:val="4AB2FB23"/>
    <w:rsid w:val="4ACBA3EC"/>
    <w:rsid w:val="4ADEBA57"/>
    <w:rsid w:val="4B02B48B"/>
    <w:rsid w:val="4B10A7C3"/>
    <w:rsid w:val="4B48B4C2"/>
    <w:rsid w:val="4B59240E"/>
    <w:rsid w:val="4B5B6D71"/>
    <w:rsid w:val="4B656965"/>
    <w:rsid w:val="4B7256C3"/>
    <w:rsid w:val="4B80A956"/>
    <w:rsid w:val="4B850A1A"/>
    <w:rsid w:val="4B8ABE81"/>
    <w:rsid w:val="4B8C6A01"/>
    <w:rsid w:val="4B9433FF"/>
    <w:rsid w:val="4B96C1B8"/>
    <w:rsid w:val="4BB495A5"/>
    <w:rsid w:val="4BB62D6D"/>
    <w:rsid w:val="4BC5154F"/>
    <w:rsid w:val="4BD03CD0"/>
    <w:rsid w:val="4BF0D3C0"/>
    <w:rsid w:val="4BF2D3E7"/>
    <w:rsid w:val="4BF92749"/>
    <w:rsid w:val="4C05849B"/>
    <w:rsid w:val="4C29690D"/>
    <w:rsid w:val="4C45B9F5"/>
    <w:rsid w:val="4C4FB97F"/>
    <w:rsid w:val="4C62C93C"/>
    <w:rsid w:val="4C7865FD"/>
    <w:rsid w:val="4C832A83"/>
    <w:rsid w:val="4C91D913"/>
    <w:rsid w:val="4C9552A3"/>
    <w:rsid w:val="4C991961"/>
    <w:rsid w:val="4CA7FFA6"/>
    <w:rsid w:val="4CBD56DB"/>
    <w:rsid w:val="4CD300F3"/>
    <w:rsid w:val="4CEF1D8C"/>
    <w:rsid w:val="4CF56F5A"/>
    <w:rsid w:val="4CF73DD2"/>
    <w:rsid w:val="4D065CDB"/>
    <w:rsid w:val="4D0BADF1"/>
    <w:rsid w:val="4D31ACED"/>
    <w:rsid w:val="4D3B05D1"/>
    <w:rsid w:val="4D3BAB78"/>
    <w:rsid w:val="4D3D7C50"/>
    <w:rsid w:val="4D3DB243"/>
    <w:rsid w:val="4D5B2667"/>
    <w:rsid w:val="4D6B8E8F"/>
    <w:rsid w:val="4D773738"/>
    <w:rsid w:val="4D7FC413"/>
    <w:rsid w:val="4D8195DC"/>
    <w:rsid w:val="4D901063"/>
    <w:rsid w:val="4DB65BE0"/>
    <w:rsid w:val="4DDD298A"/>
    <w:rsid w:val="4DE0A493"/>
    <w:rsid w:val="4DE3CDF1"/>
    <w:rsid w:val="4DFFB008"/>
    <w:rsid w:val="4E0C38F3"/>
    <w:rsid w:val="4E22417F"/>
    <w:rsid w:val="4E321DC4"/>
    <w:rsid w:val="4E3605AD"/>
    <w:rsid w:val="4E39E0B8"/>
    <w:rsid w:val="4E52AC9C"/>
    <w:rsid w:val="4E5A8802"/>
    <w:rsid w:val="4E840638"/>
    <w:rsid w:val="4E8B176F"/>
    <w:rsid w:val="4EA50384"/>
    <w:rsid w:val="4ECA7753"/>
    <w:rsid w:val="4ED11587"/>
    <w:rsid w:val="4EDF59D1"/>
    <w:rsid w:val="4F0D1F7A"/>
    <w:rsid w:val="4F144B75"/>
    <w:rsid w:val="4F16337C"/>
    <w:rsid w:val="4F1CD3F0"/>
    <w:rsid w:val="4F254E83"/>
    <w:rsid w:val="4F26E9CF"/>
    <w:rsid w:val="4F291B36"/>
    <w:rsid w:val="4F2C0814"/>
    <w:rsid w:val="4F313445"/>
    <w:rsid w:val="4F45734D"/>
    <w:rsid w:val="4F7CF64B"/>
    <w:rsid w:val="4F80DD16"/>
    <w:rsid w:val="4F8B9CB0"/>
    <w:rsid w:val="4F927589"/>
    <w:rsid w:val="4FA549D5"/>
    <w:rsid w:val="4FB5EA20"/>
    <w:rsid w:val="4FD73E8E"/>
    <w:rsid w:val="4FE4E0B6"/>
    <w:rsid w:val="50130212"/>
    <w:rsid w:val="50145DEE"/>
    <w:rsid w:val="503C41C2"/>
    <w:rsid w:val="503DCB40"/>
    <w:rsid w:val="508D7699"/>
    <w:rsid w:val="50A3D8BA"/>
    <w:rsid w:val="50BB2780"/>
    <w:rsid w:val="50D0DCCA"/>
    <w:rsid w:val="50DED489"/>
    <w:rsid w:val="51114EEE"/>
    <w:rsid w:val="5126C789"/>
    <w:rsid w:val="51293816"/>
    <w:rsid w:val="513358B7"/>
    <w:rsid w:val="513C7596"/>
    <w:rsid w:val="514B2A43"/>
    <w:rsid w:val="514C35B6"/>
    <w:rsid w:val="514C40C0"/>
    <w:rsid w:val="51531A2E"/>
    <w:rsid w:val="515D5E07"/>
    <w:rsid w:val="5173EFAD"/>
    <w:rsid w:val="518D49B9"/>
    <w:rsid w:val="519D9F04"/>
    <w:rsid w:val="51B48C7A"/>
    <w:rsid w:val="51BA8F64"/>
    <w:rsid w:val="51C986DA"/>
    <w:rsid w:val="51F9D2AA"/>
    <w:rsid w:val="520523A2"/>
    <w:rsid w:val="520EDD8C"/>
    <w:rsid w:val="521D3EBB"/>
    <w:rsid w:val="5222112D"/>
    <w:rsid w:val="522C46A4"/>
    <w:rsid w:val="52436DC5"/>
    <w:rsid w:val="52665BA3"/>
    <w:rsid w:val="527819E1"/>
    <w:rsid w:val="527B62D5"/>
    <w:rsid w:val="5284F687"/>
    <w:rsid w:val="52A64EA1"/>
    <w:rsid w:val="52B09AAD"/>
    <w:rsid w:val="52D350E0"/>
    <w:rsid w:val="52E80617"/>
    <w:rsid w:val="530F80E6"/>
    <w:rsid w:val="5316BA9E"/>
    <w:rsid w:val="534D56F9"/>
    <w:rsid w:val="537D2D59"/>
    <w:rsid w:val="537FA2F7"/>
    <w:rsid w:val="53A81AFA"/>
    <w:rsid w:val="53ACC345"/>
    <w:rsid w:val="53B33841"/>
    <w:rsid w:val="53B9EE4F"/>
    <w:rsid w:val="53D16D30"/>
    <w:rsid w:val="53D4CA1E"/>
    <w:rsid w:val="53EA55B1"/>
    <w:rsid w:val="53F5D438"/>
    <w:rsid w:val="540E1A0D"/>
    <w:rsid w:val="54102F71"/>
    <w:rsid w:val="54130799"/>
    <w:rsid w:val="54161712"/>
    <w:rsid w:val="54390A68"/>
    <w:rsid w:val="5444398E"/>
    <w:rsid w:val="545E4CC4"/>
    <w:rsid w:val="546B7864"/>
    <w:rsid w:val="546C7440"/>
    <w:rsid w:val="546D7943"/>
    <w:rsid w:val="548576F6"/>
    <w:rsid w:val="54946B6B"/>
    <w:rsid w:val="54A2AAC5"/>
    <w:rsid w:val="54C0F931"/>
    <w:rsid w:val="54CE1E08"/>
    <w:rsid w:val="54EE044E"/>
    <w:rsid w:val="54FA8CC5"/>
    <w:rsid w:val="55231B2D"/>
    <w:rsid w:val="55326CB1"/>
    <w:rsid w:val="556AA91D"/>
    <w:rsid w:val="55740C58"/>
    <w:rsid w:val="557C5134"/>
    <w:rsid w:val="558EA703"/>
    <w:rsid w:val="55A2E7C2"/>
    <w:rsid w:val="55B1DFF3"/>
    <w:rsid w:val="55B89612"/>
    <w:rsid w:val="55C74098"/>
    <w:rsid w:val="55CE6A6F"/>
    <w:rsid w:val="55D9DC46"/>
    <w:rsid w:val="55DBE786"/>
    <w:rsid w:val="55F26111"/>
    <w:rsid w:val="55FB6F7F"/>
    <w:rsid w:val="56408F44"/>
    <w:rsid w:val="56445935"/>
    <w:rsid w:val="566534FD"/>
    <w:rsid w:val="56A0B23E"/>
    <w:rsid w:val="56A35D4B"/>
    <w:rsid w:val="56AF802B"/>
    <w:rsid w:val="56CC718F"/>
    <w:rsid w:val="56E125EC"/>
    <w:rsid w:val="56EEB0EF"/>
    <w:rsid w:val="5707247F"/>
    <w:rsid w:val="571D22C7"/>
    <w:rsid w:val="571FCFC0"/>
    <w:rsid w:val="5724A0C9"/>
    <w:rsid w:val="57250064"/>
    <w:rsid w:val="574B455C"/>
    <w:rsid w:val="574F14C3"/>
    <w:rsid w:val="5777C03B"/>
    <w:rsid w:val="5777C85E"/>
    <w:rsid w:val="5782FD1A"/>
    <w:rsid w:val="578446BB"/>
    <w:rsid w:val="57B49622"/>
    <w:rsid w:val="57C2B3EA"/>
    <w:rsid w:val="57CAA19E"/>
    <w:rsid w:val="57DB1D45"/>
    <w:rsid w:val="57FC21BD"/>
    <w:rsid w:val="580BE69F"/>
    <w:rsid w:val="580EAD8B"/>
    <w:rsid w:val="581B22DE"/>
    <w:rsid w:val="581FA5F9"/>
    <w:rsid w:val="582A3918"/>
    <w:rsid w:val="5830C5AA"/>
    <w:rsid w:val="58412B70"/>
    <w:rsid w:val="5843EBA7"/>
    <w:rsid w:val="584A616B"/>
    <w:rsid w:val="585F126A"/>
    <w:rsid w:val="586FD0A0"/>
    <w:rsid w:val="5877BDC5"/>
    <w:rsid w:val="587FB10D"/>
    <w:rsid w:val="5897D7F5"/>
    <w:rsid w:val="58A44747"/>
    <w:rsid w:val="58A90ACC"/>
    <w:rsid w:val="58B9738D"/>
    <w:rsid w:val="58D306CE"/>
    <w:rsid w:val="58DED194"/>
    <w:rsid w:val="58E1BE5D"/>
    <w:rsid w:val="58F318BA"/>
    <w:rsid w:val="58F47D93"/>
    <w:rsid w:val="58F535EB"/>
    <w:rsid w:val="5907BB86"/>
    <w:rsid w:val="590A8897"/>
    <w:rsid w:val="59161555"/>
    <w:rsid w:val="591FF473"/>
    <w:rsid w:val="592717BA"/>
    <w:rsid w:val="593DF211"/>
    <w:rsid w:val="593F4F8F"/>
    <w:rsid w:val="596E70E0"/>
    <w:rsid w:val="59BF32FD"/>
    <w:rsid w:val="59C13E7A"/>
    <w:rsid w:val="59CD70C8"/>
    <w:rsid w:val="59D0F58A"/>
    <w:rsid w:val="59D5E9BA"/>
    <w:rsid w:val="59DE5EA8"/>
    <w:rsid w:val="59F5E531"/>
    <w:rsid w:val="5A04B930"/>
    <w:rsid w:val="5A24CAA7"/>
    <w:rsid w:val="5A582218"/>
    <w:rsid w:val="5A629242"/>
    <w:rsid w:val="5AD883FE"/>
    <w:rsid w:val="5AEC4296"/>
    <w:rsid w:val="5AEFF99F"/>
    <w:rsid w:val="5B053981"/>
    <w:rsid w:val="5B27C581"/>
    <w:rsid w:val="5B2B44EF"/>
    <w:rsid w:val="5B2B65F6"/>
    <w:rsid w:val="5B38672A"/>
    <w:rsid w:val="5B5CBEB9"/>
    <w:rsid w:val="5B6C0BEA"/>
    <w:rsid w:val="5B6DE390"/>
    <w:rsid w:val="5B80E99E"/>
    <w:rsid w:val="5B87524C"/>
    <w:rsid w:val="5B8EBD85"/>
    <w:rsid w:val="5B93B475"/>
    <w:rsid w:val="5B93C034"/>
    <w:rsid w:val="5BBBA0EB"/>
    <w:rsid w:val="5BD76EA9"/>
    <w:rsid w:val="5BE99CA5"/>
    <w:rsid w:val="5BEC4385"/>
    <w:rsid w:val="5BF74461"/>
    <w:rsid w:val="5C07189D"/>
    <w:rsid w:val="5C425BD8"/>
    <w:rsid w:val="5C650B48"/>
    <w:rsid w:val="5C777B2C"/>
    <w:rsid w:val="5C7848CE"/>
    <w:rsid w:val="5C841ACF"/>
    <w:rsid w:val="5C89C702"/>
    <w:rsid w:val="5CA234AB"/>
    <w:rsid w:val="5CA88332"/>
    <w:rsid w:val="5CB640EF"/>
    <w:rsid w:val="5CB6960F"/>
    <w:rsid w:val="5CC2347E"/>
    <w:rsid w:val="5CC2859D"/>
    <w:rsid w:val="5CCDB902"/>
    <w:rsid w:val="5CD257B0"/>
    <w:rsid w:val="5CDC2100"/>
    <w:rsid w:val="5CF3F7D2"/>
    <w:rsid w:val="5D0EC3A4"/>
    <w:rsid w:val="5D11B842"/>
    <w:rsid w:val="5D43C623"/>
    <w:rsid w:val="5D7062DA"/>
    <w:rsid w:val="5D8DA656"/>
    <w:rsid w:val="5DADC5EA"/>
    <w:rsid w:val="5DC3BF53"/>
    <w:rsid w:val="5DD1647D"/>
    <w:rsid w:val="5DE2A170"/>
    <w:rsid w:val="5E011F0F"/>
    <w:rsid w:val="5E043CD6"/>
    <w:rsid w:val="5E08EE36"/>
    <w:rsid w:val="5E14192F"/>
    <w:rsid w:val="5E167CB9"/>
    <w:rsid w:val="5E4DABBC"/>
    <w:rsid w:val="5E670AD5"/>
    <w:rsid w:val="5E87CB35"/>
    <w:rsid w:val="5E94046F"/>
    <w:rsid w:val="5EA1ADC3"/>
    <w:rsid w:val="5EA3938F"/>
    <w:rsid w:val="5EC82427"/>
    <w:rsid w:val="5ECC1392"/>
    <w:rsid w:val="5EDD2B7F"/>
    <w:rsid w:val="5EE888A3"/>
    <w:rsid w:val="5EE9307B"/>
    <w:rsid w:val="5EF2C3C8"/>
    <w:rsid w:val="5F18C942"/>
    <w:rsid w:val="5F215824"/>
    <w:rsid w:val="5F298046"/>
    <w:rsid w:val="5F29E90F"/>
    <w:rsid w:val="5F34453A"/>
    <w:rsid w:val="5F348B87"/>
    <w:rsid w:val="5F4D8FD6"/>
    <w:rsid w:val="5F522F04"/>
    <w:rsid w:val="5F78E7E5"/>
    <w:rsid w:val="5F81DE39"/>
    <w:rsid w:val="5F90B4F0"/>
    <w:rsid w:val="5F943F1C"/>
    <w:rsid w:val="5F976A18"/>
    <w:rsid w:val="5F97CE61"/>
    <w:rsid w:val="5FA67FAA"/>
    <w:rsid w:val="5FB37049"/>
    <w:rsid w:val="5FC070E9"/>
    <w:rsid w:val="6020B371"/>
    <w:rsid w:val="6052F8A4"/>
    <w:rsid w:val="60558C66"/>
    <w:rsid w:val="605DD66C"/>
    <w:rsid w:val="6081B53E"/>
    <w:rsid w:val="6083BCC3"/>
    <w:rsid w:val="60845904"/>
    <w:rsid w:val="60948C3C"/>
    <w:rsid w:val="60B40AD9"/>
    <w:rsid w:val="60B76CDA"/>
    <w:rsid w:val="60C68DCD"/>
    <w:rsid w:val="60DBCFF6"/>
    <w:rsid w:val="60FF7B5C"/>
    <w:rsid w:val="61274573"/>
    <w:rsid w:val="6130D30F"/>
    <w:rsid w:val="61517214"/>
    <w:rsid w:val="6162E7A3"/>
    <w:rsid w:val="61722224"/>
    <w:rsid w:val="6174DEEC"/>
    <w:rsid w:val="6194496C"/>
    <w:rsid w:val="6196DED8"/>
    <w:rsid w:val="61A5D1A5"/>
    <w:rsid w:val="61A95345"/>
    <w:rsid w:val="61CA73A7"/>
    <w:rsid w:val="61D8BFDB"/>
    <w:rsid w:val="61D99A77"/>
    <w:rsid w:val="61D9A8A3"/>
    <w:rsid w:val="61EF830E"/>
    <w:rsid w:val="61F71848"/>
    <w:rsid w:val="6209DFCB"/>
    <w:rsid w:val="62124AD2"/>
    <w:rsid w:val="621B1133"/>
    <w:rsid w:val="6221D802"/>
    <w:rsid w:val="62385CB5"/>
    <w:rsid w:val="6239EE3A"/>
    <w:rsid w:val="623C04AC"/>
    <w:rsid w:val="624A3576"/>
    <w:rsid w:val="62527C30"/>
    <w:rsid w:val="62605294"/>
    <w:rsid w:val="62ABCA8A"/>
    <w:rsid w:val="62B2F73E"/>
    <w:rsid w:val="62B4BBF2"/>
    <w:rsid w:val="62C64630"/>
    <w:rsid w:val="62CDC28F"/>
    <w:rsid w:val="630DD0DE"/>
    <w:rsid w:val="632F8C9C"/>
    <w:rsid w:val="634234ED"/>
    <w:rsid w:val="634CECE6"/>
    <w:rsid w:val="63765E1D"/>
    <w:rsid w:val="6396C6A1"/>
    <w:rsid w:val="63B4FDA4"/>
    <w:rsid w:val="63D2B170"/>
    <w:rsid w:val="63D48FBB"/>
    <w:rsid w:val="63ED0479"/>
    <w:rsid w:val="63F64D47"/>
    <w:rsid w:val="63FCE7DA"/>
    <w:rsid w:val="63FFC72B"/>
    <w:rsid w:val="641370B8"/>
    <w:rsid w:val="642980B5"/>
    <w:rsid w:val="6435EB42"/>
    <w:rsid w:val="644B7E5C"/>
    <w:rsid w:val="64609EC4"/>
    <w:rsid w:val="6477B26A"/>
    <w:rsid w:val="64AB3475"/>
    <w:rsid w:val="64AB3F2B"/>
    <w:rsid w:val="64D375B1"/>
    <w:rsid w:val="64E34FDA"/>
    <w:rsid w:val="64E39502"/>
    <w:rsid w:val="64EFCE51"/>
    <w:rsid w:val="6508AE16"/>
    <w:rsid w:val="650EBBA6"/>
    <w:rsid w:val="65348B3C"/>
    <w:rsid w:val="65380AED"/>
    <w:rsid w:val="65738965"/>
    <w:rsid w:val="6579E6A1"/>
    <w:rsid w:val="658737EA"/>
    <w:rsid w:val="659166E5"/>
    <w:rsid w:val="6591F39C"/>
    <w:rsid w:val="65A1B758"/>
    <w:rsid w:val="65B5F4F4"/>
    <w:rsid w:val="65C09878"/>
    <w:rsid w:val="65C49967"/>
    <w:rsid w:val="65C6AE45"/>
    <w:rsid w:val="660267BF"/>
    <w:rsid w:val="661B5A62"/>
    <w:rsid w:val="662E2FAF"/>
    <w:rsid w:val="662FAE0D"/>
    <w:rsid w:val="66323BA6"/>
    <w:rsid w:val="663852AD"/>
    <w:rsid w:val="6647DA30"/>
    <w:rsid w:val="665D06A9"/>
    <w:rsid w:val="667120BA"/>
    <w:rsid w:val="669EE57B"/>
    <w:rsid w:val="66BD7433"/>
    <w:rsid w:val="66D18468"/>
    <w:rsid w:val="672491C7"/>
    <w:rsid w:val="672C129F"/>
    <w:rsid w:val="672F4570"/>
    <w:rsid w:val="678B8EF8"/>
    <w:rsid w:val="67926C3F"/>
    <w:rsid w:val="67AF4CD5"/>
    <w:rsid w:val="67F25448"/>
    <w:rsid w:val="6807D92A"/>
    <w:rsid w:val="681E1684"/>
    <w:rsid w:val="68263C71"/>
    <w:rsid w:val="6833F4BE"/>
    <w:rsid w:val="6834D007"/>
    <w:rsid w:val="683F24ED"/>
    <w:rsid w:val="689068F8"/>
    <w:rsid w:val="6894D362"/>
    <w:rsid w:val="68AAF6A6"/>
    <w:rsid w:val="68AE100D"/>
    <w:rsid w:val="68B77AA8"/>
    <w:rsid w:val="69122CFE"/>
    <w:rsid w:val="692B77AB"/>
    <w:rsid w:val="693A5619"/>
    <w:rsid w:val="693B8724"/>
    <w:rsid w:val="694711A7"/>
    <w:rsid w:val="694D4C7A"/>
    <w:rsid w:val="69651DF4"/>
    <w:rsid w:val="696C9B44"/>
    <w:rsid w:val="6973BFFB"/>
    <w:rsid w:val="6983D0F4"/>
    <w:rsid w:val="698606B6"/>
    <w:rsid w:val="69B8DF9D"/>
    <w:rsid w:val="69C41BF0"/>
    <w:rsid w:val="69CA34B2"/>
    <w:rsid w:val="69D6863D"/>
    <w:rsid w:val="69E235AC"/>
    <w:rsid w:val="69E7ECFF"/>
    <w:rsid w:val="69F52C36"/>
    <w:rsid w:val="6A1E11EA"/>
    <w:rsid w:val="6A3CF6FE"/>
    <w:rsid w:val="6A5E3057"/>
    <w:rsid w:val="6A8721EE"/>
    <w:rsid w:val="6A8BA1DF"/>
    <w:rsid w:val="6AA614D3"/>
    <w:rsid w:val="6AB842DB"/>
    <w:rsid w:val="6AD0AD18"/>
    <w:rsid w:val="6AD20E93"/>
    <w:rsid w:val="6AE355F4"/>
    <w:rsid w:val="6B04E299"/>
    <w:rsid w:val="6B115273"/>
    <w:rsid w:val="6B2BAAB3"/>
    <w:rsid w:val="6B3077CC"/>
    <w:rsid w:val="6B31CC71"/>
    <w:rsid w:val="6B37BAA2"/>
    <w:rsid w:val="6B5B5950"/>
    <w:rsid w:val="6B8E2336"/>
    <w:rsid w:val="6B98D48D"/>
    <w:rsid w:val="6BA52998"/>
    <w:rsid w:val="6BA6D878"/>
    <w:rsid w:val="6BAD4847"/>
    <w:rsid w:val="6BC3CCFD"/>
    <w:rsid w:val="6BE08416"/>
    <w:rsid w:val="6BE4A43D"/>
    <w:rsid w:val="6BEC82DB"/>
    <w:rsid w:val="6C086A7C"/>
    <w:rsid w:val="6C182E4C"/>
    <w:rsid w:val="6C23D4AB"/>
    <w:rsid w:val="6C28D499"/>
    <w:rsid w:val="6C487772"/>
    <w:rsid w:val="6C48CCD0"/>
    <w:rsid w:val="6C512934"/>
    <w:rsid w:val="6C5D6D98"/>
    <w:rsid w:val="6C75F2A7"/>
    <w:rsid w:val="6C7D7115"/>
    <w:rsid w:val="6C84B912"/>
    <w:rsid w:val="6C917395"/>
    <w:rsid w:val="6C955D76"/>
    <w:rsid w:val="6CAA03C1"/>
    <w:rsid w:val="6CC77B14"/>
    <w:rsid w:val="6CE64A54"/>
    <w:rsid w:val="6CF00367"/>
    <w:rsid w:val="6CFBBCB2"/>
    <w:rsid w:val="6D051644"/>
    <w:rsid w:val="6D08B041"/>
    <w:rsid w:val="6D0CECB4"/>
    <w:rsid w:val="6D11CFBD"/>
    <w:rsid w:val="6D1A0EB5"/>
    <w:rsid w:val="6D20C5F7"/>
    <w:rsid w:val="6D20CD1D"/>
    <w:rsid w:val="6D25ED9B"/>
    <w:rsid w:val="6D375B0D"/>
    <w:rsid w:val="6D399827"/>
    <w:rsid w:val="6D50C809"/>
    <w:rsid w:val="6D5801FE"/>
    <w:rsid w:val="6D7443D8"/>
    <w:rsid w:val="6D815E6A"/>
    <w:rsid w:val="6D9EF53D"/>
    <w:rsid w:val="6DA4321C"/>
    <w:rsid w:val="6E17439D"/>
    <w:rsid w:val="6E190F81"/>
    <w:rsid w:val="6E1FCDB0"/>
    <w:rsid w:val="6E231D95"/>
    <w:rsid w:val="6E24A7D6"/>
    <w:rsid w:val="6E2E1F7F"/>
    <w:rsid w:val="6E3125A1"/>
    <w:rsid w:val="6E31BDD9"/>
    <w:rsid w:val="6E43F311"/>
    <w:rsid w:val="6E4E19D0"/>
    <w:rsid w:val="6E6A514B"/>
    <w:rsid w:val="6E774720"/>
    <w:rsid w:val="6E7D368F"/>
    <w:rsid w:val="6E978D13"/>
    <w:rsid w:val="6EAD3762"/>
    <w:rsid w:val="6EB89538"/>
    <w:rsid w:val="6EBF510B"/>
    <w:rsid w:val="6EC55476"/>
    <w:rsid w:val="6ECE15EA"/>
    <w:rsid w:val="6ED99561"/>
    <w:rsid w:val="6EE76F06"/>
    <w:rsid w:val="6EEEE4D6"/>
    <w:rsid w:val="6EFE83BE"/>
    <w:rsid w:val="6F169180"/>
    <w:rsid w:val="6F39AB96"/>
    <w:rsid w:val="6F6B28B1"/>
    <w:rsid w:val="6F7059ED"/>
    <w:rsid w:val="6F72FA61"/>
    <w:rsid w:val="6F7F28CC"/>
    <w:rsid w:val="6F8687F1"/>
    <w:rsid w:val="6FB2C000"/>
    <w:rsid w:val="6FB61DA8"/>
    <w:rsid w:val="6FCE6709"/>
    <w:rsid w:val="6FD5734B"/>
    <w:rsid w:val="6FFA4D1C"/>
    <w:rsid w:val="705D5C39"/>
    <w:rsid w:val="70715874"/>
    <w:rsid w:val="708896D2"/>
    <w:rsid w:val="708A843F"/>
    <w:rsid w:val="70931025"/>
    <w:rsid w:val="7095ADCF"/>
    <w:rsid w:val="70971D5D"/>
    <w:rsid w:val="70A69D54"/>
    <w:rsid w:val="70A6CBA1"/>
    <w:rsid w:val="70A7CE01"/>
    <w:rsid w:val="70B3EA8E"/>
    <w:rsid w:val="70B4D92B"/>
    <w:rsid w:val="70BB3758"/>
    <w:rsid w:val="70D6364C"/>
    <w:rsid w:val="70DCB137"/>
    <w:rsid w:val="70E49D69"/>
    <w:rsid w:val="70EE5286"/>
    <w:rsid w:val="71148FA0"/>
    <w:rsid w:val="713063E9"/>
    <w:rsid w:val="71375C3F"/>
    <w:rsid w:val="713B37D9"/>
    <w:rsid w:val="713D11BE"/>
    <w:rsid w:val="714C72B3"/>
    <w:rsid w:val="715F99FD"/>
    <w:rsid w:val="718FCAFE"/>
    <w:rsid w:val="71A53A67"/>
    <w:rsid w:val="71A9797E"/>
    <w:rsid w:val="71DCAEBD"/>
    <w:rsid w:val="71DD7D0B"/>
    <w:rsid w:val="71DFAB86"/>
    <w:rsid w:val="71F95EBE"/>
    <w:rsid w:val="7261CBBD"/>
    <w:rsid w:val="72626702"/>
    <w:rsid w:val="726995BF"/>
    <w:rsid w:val="728CB134"/>
    <w:rsid w:val="72C3D6EA"/>
    <w:rsid w:val="72C9F7D5"/>
    <w:rsid w:val="72CCAA63"/>
    <w:rsid w:val="72CCC9B9"/>
    <w:rsid w:val="72E284B7"/>
    <w:rsid w:val="730C7FA3"/>
    <w:rsid w:val="7317AF1D"/>
    <w:rsid w:val="731D1551"/>
    <w:rsid w:val="73246EED"/>
    <w:rsid w:val="732DEC1E"/>
    <w:rsid w:val="73305708"/>
    <w:rsid w:val="73573AED"/>
    <w:rsid w:val="736CE6EE"/>
    <w:rsid w:val="7373409A"/>
    <w:rsid w:val="7378C76D"/>
    <w:rsid w:val="737A6AAF"/>
    <w:rsid w:val="73913353"/>
    <w:rsid w:val="73B7BD07"/>
    <w:rsid w:val="73CA949E"/>
    <w:rsid w:val="73D4B471"/>
    <w:rsid w:val="73DBA42D"/>
    <w:rsid w:val="740F7C42"/>
    <w:rsid w:val="74133DE8"/>
    <w:rsid w:val="74190605"/>
    <w:rsid w:val="7427A143"/>
    <w:rsid w:val="742ECD62"/>
    <w:rsid w:val="74318208"/>
    <w:rsid w:val="7432C57A"/>
    <w:rsid w:val="74341FFE"/>
    <w:rsid w:val="745A2E28"/>
    <w:rsid w:val="74628B30"/>
    <w:rsid w:val="74659DA6"/>
    <w:rsid w:val="7478DADB"/>
    <w:rsid w:val="74797508"/>
    <w:rsid w:val="749BD3C4"/>
    <w:rsid w:val="74AF7309"/>
    <w:rsid w:val="74C27133"/>
    <w:rsid w:val="74C2D697"/>
    <w:rsid w:val="74D4FDC7"/>
    <w:rsid w:val="74E7E82F"/>
    <w:rsid w:val="74EF3EDD"/>
    <w:rsid w:val="74FFDA18"/>
    <w:rsid w:val="75020D3A"/>
    <w:rsid w:val="750370C7"/>
    <w:rsid w:val="7506CE97"/>
    <w:rsid w:val="750D828B"/>
    <w:rsid w:val="7516F32E"/>
    <w:rsid w:val="7520EC57"/>
    <w:rsid w:val="752EFF76"/>
    <w:rsid w:val="75654441"/>
    <w:rsid w:val="7587DD30"/>
    <w:rsid w:val="75884560"/>
    <w:rsid w:val="759034DA"/>
    <w:rsid w:val="75924973"/>
    <w:rsid w:val="75A70B9B"/>
    <w:rsid w:val="75ABA435"/>
    <w:rsid w:val="75C50D08"/>
    <w:rsid w:val="75E1706A"/>
    <w:rsid w:val="75ECE288"/>
    <w:rsid w:val="75F3FCEE"/>
    <w:rsid w:val="76006010"/>
    <w:rsid w:val="7614AB3C"/>
    <w:rsid w:val="7650FE41"/>
    <w:rsid w:val="7657B83D"/>
    <w:rsid w:val="767B0610"/>
    <w:rsid w:val="7695F8EE"/>
    <w:rsid w:val="76A1E7B5"/>
    <w:rsid w:val="76CF3F7B"/>
    <w:rsid w:val="76FCABEE"/>
    <w:rsid w:val="770425DE"/>
    <w:rsid w:val="7709FD0A"/>
    <w:rsid w:val="772EA81C"/>
    <w:rsid w:val="77338119"/>
    <w:rsid w:val="7735AD28"/>
    <w:rsid w:val="77388A49"/>
    <w:rsid w:val="7777E00D"/>
    <w:rsid w:val="777E3216"/>
    <w:rsid w:val="77819B0D"/>
    <w:rsid w:val="77830264"/>
    <w:rsid w:val="7784ED1D"/>
    <w:rsid w:val="7787DAEA"/>
    <w:rsid w:val="77AF7C83"/>
    <w:rsid w:val="77C22A19"/>
    <w:rsid w:val="77CD141F"/>
    <w:rsid w:val="77D1997A"/>
    <w:rsid w:val="77E73FDF"/>
    <w:rsid w:val="7809C4C7"/>
    <w:rsid w:val="781D26AA"/>
    <w:rsid w:val="782C7E00"/>
    <w:rsid w:val="783B3DE3"/>
    <w:rsid w:val="783CC1B5"/>
    <w:rsid w:val="784C313C"/>
    <w:rsid w:val="786B5300"/>
    <w:rsid w:val="786BD157"/>
    <w:rsid w:val="786E3021"/>
    <w:rsid w:val="787A8586"/>
    <w:rsid w:val="787B1755"/>
    <w:rsid w:val="7887C939"/>
    <w:rsid w:val="788DE2E7"/>
    <w:rsid w:val="78978E92"/>
    <w:rsid w:val="7899046F"/>
    <w:rsid w:val="78A508F5"/>
    <w:rsid w:val="78A97FC4"/>
    <w:rsid w:val="78BE011A"/>
    <w:rsid w:val="78C3123E"/>
    <w:rsid w:val="78D03FFB"/>
    <w:rsid w:val="78E9B413"/>
    <w:rsid w:val="79005008"/>
    <w:rsid w:val="79121265"/>
    <w:rsid w:val="792F3293"/>
    <w:rsid w:val="79419C54"/>
    <w:rsid w:val="795CCEF1"/>
    <w:rsid w:val="7963DCAE"/>
    <w:rsid w:val="796E7E9B"/>
    <w:rsid w:val="797192D5"/>
    <w:rsid w:val="797B5140"/>
    <w:rsid w:val="7985E1C7"/>
    <w:rsid w:val="79A5A079"/>
    <w:rsid w:val="79D16799"/>
    <w:rsid w:val="79D347D2"/>
    <w:rsid w:val="79E10113"/>
    <w:rsid w:val="79E87A29"/>
    <w:rsid w:val="79FCF781"/>
    <w:rsid w:val="7A1599B3"/>
    <w:rsid w:val="7A1C52DB"/>
    <w:rsid w:val="7A39E558"/>
    <w:rsid w:val="7A43E833"/>
    <w:rsid w:val="7A47805D"/>
    <w:rsid w:val="7A5CC80D"/>
    <w:rsid w:val="7A68EFF8"/>
    <w:rsid w:val="7A699331"/>
    <w:rsid w:val="7A6CEACE"/>
    <w:rsid w:val="7A8AE178"/>
    <w:rsid w:val="7A915159"/>
    <w:rsid w:val="7A96D406"/>
    <w:rsid w:val="7A9C1EA1"/>
    <w:rsid w:val="7AC854DA"/>
    <w:rsid w:val="7ACE7A9B"/>
    <w:rsid w:val="7AD9CA23"/>
    <w:rsid w:val="7AE18B36"/>
    <w:rsid w:val="7B1702A3"/>
    <w:rsid w:val="7B360952"/>
    <w:rsid w:val="7B496B50"/>
    <w:rsid w:val="7B6ED446"/>
    <w:rsid w:val="7B939E44"/>
    <w:rsid w:val="7BA08686"/>
    <w:rsid w:val="7BAB207E"/>
    <w:rsid w:val="7BAB97FE"/>
    <w:rsid w:val="7BB325E0"/>
    <w:rsid w:val="7BB50DA2"/>
    <w:rsid w:val="7BB54652"/>
    <w:rsid w:val="7BCF4703"/>
    <w:rsid w:val="7BCFB004"/>
    <w:rsid w:val="7BE3F6D7"/>
    <w:rsid w:val="7BF27568"/>
    <w:rsid w:val="7BF42B7C"/>
    <w:rsid w:val="7BFBDAB8"/>
    <w:rsid w:val="7BFF148F"/>
    <w:rsid w:val="7C262E2B"/>
    <w:rsid w:val="7C60D87B"/>
    <w:rsid w:val="7C621103"/>
    <w:rsid w:val="7C6AF805"/>
    <w:rsid w:val="7C6F5744"/>
    <w:rsid w:val="7C883E80"/>
    <w:rsid w:val="7C90E965"/>
    <w:rsid w:val="7C9933E2"/>
    <w:rsid w:val="7CA01BDF"/>
    <w:rsid w:val="7CABBB15"/>
    <w:rsid w:val="7CBCEE23"/>
    <w:rsid w:val="7CC5739B"/>
    <w:rsid w:val="7CDE9A7A"/>
    <w:rsid w:val="7CE42412"/>
    <w:rsid w:val="7CECBE9C"/>
    <w:rsid w:val="7CF3FB47"/>
    <w:rsid w:val="7D05A24C"/>
    <w:rsid w:val="7D0A173C"/>
    <w:rsid w:val="7D14B718"/>
    <w:rsid w:val="7D275297"/>
    <w:rsid w:val="7D2ED11C"/>
    <w:rsid w:val="7D32413E"/>
    <w:rsid w:val="7D3CDA8B"/>
    <w:rsid w:val="7D924EFC"/>
    <w:rsid w:val="7D949FF0"/>
    <w:rsid w:val="7DB18F01"/>
    <w:rsid w:val="7DB4A581"/>
    <w:rsid w:val="7DC9C1B7"/>
    <w:rsid w:val="7DDEFBE4"/>
    <w:rsid w:val="7DF87A33"/>
    <w:rsid w:val="7E0FB8DB"/>
    <w:rsid w:val="7E164797"/>
    <w:rsid w:val="7E18E1B9"/>
    <w:rsid w:val="7E522051"/>
    <w:rsid w:val="7E65046F"/>
    <w:rsid w:val="7E7BAA2B"/>
    <w:rsid w:val="7EB943A2"/>
    <w:rsid w:val="7EBBEEA8"/>
    <w:rsid w:val="7EE9FC59"/>
    <w:rsid w:val="7EFB7849"/>
    <w:rsid w:val="7F0724FF"/>
    <w:rsid w:val="7F101205"/>
    <w:rsid w:val="7F251BD7"/>
    <w:rsid w:val="7F282AE4"/>
    <w:rsid w:val="7F282B10"/>
    <w:rsid w:val="7F35589C"/>
    <w:rsid w:val="7F4A51D3"/>
    <w:rsid w:val="7F524776"/>
    <w:rsid w:val="7F99248D"/>
    <w:rsid w:val="7F9F81A0"/>
    <w:rsid w:val="7FA2D55F"/>
    <w:rsid w:val="7FE2DFD1"/>
    <w:rsid w:val="7FE739AD"/>
    <w:rsid w:val="7FF30A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45A7A-9B53-48CF-B5D9-C7E69BF0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2838F2"/>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qFormat/>
    <w:rsid w:val="002838F2"/>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nhideWhenUsed/>
    <w:qFormat/>
    <w:rsid w:val="002838F2"/>
    <w:pPr>
      <w:keepNext/>
      <w:spacing w:before="60"/>
      <w:outlineLvl w:val="1"/>
    </w:pPr>
    <w:rPr>
      <w:rFonts w:eastAsia="Times New Roman"/>
      <w:b/>
      <w:bCs/>
      <w:sz w:val="32"/>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38F2"/>
    <w:rPr>
      <w:rFonts w:ascii="Arial" w:eastAsia="Times New Roman" w:hAnsi="Arial" w:cs="Helvetica-Light"/>
      <w:b/>
      <w:bCs/>
      <w:sz w:val="40"/>
      <w:szCs w:val="28"/>
      <w:lang w:eastAsia="en-GB"/>
    </w:rPr>
  </w:style>
  <w:style w:type="character" w:customStyle="1" w:styleId="Heading2Char">
    <w:name w:val="Heading 2 Char"/>
    <w:basedOn w:val="DefaultParagraphFont"/>
    <w:link w:val="Heading2"/>
    <w:rsid w:val="002838F2"/>
    <w:rPr>
      <w:rFonts w:ascii="Arial" w:eastAsia="Times New Roman" w:hAnsi="Arial" w:cs="Helvetica-Light"/>
      <w:b/>
      <w:bCs/>
      <w:color w:val="000000"/>
      <w:sz w:val="32"/>
      <w:szCs w:val="26"/>
      <w:lang w:eastAsia="en-GB"/>
    </w:rPr>
  </w:style>
  <w:style w:type="paragraph" w:styleId="NoSpacing">
    <w:name w:val="No Spacing"/>
    <w:link w:val="NoSpacingChar"/>
    <w:uiPriority w:val="1"/>
    <w:qFormat/>
    <w:rsid w:val="002838F2"/>
    <w:pPr>
      <w:spacing w:after="0" w:line="240" w:lineRule="auto"/>
    </w:pPr>
    <w:rPr>
      <w:rFonts w:ascii="Calibri" w:eastAsia="Calibri" w:hAnsi="Calibri" w:cs="Times New Roman"/>
    </w:rPr>
  </w:style>
  <w:style w:type="paragraph" w:styleId="ListParagraph">
    <w:name w:val="List Paragraph"/>
    <w:basedOn w:val="Normal"/>
    <w:uiPriority w:val="34"/>
    <w:qFormat/>
    <w:rsid w:val="002838F2"/>
    <w:pPr>
      <w:ind w:left="720"/>
      <w:contextualSpacing/>
    </w:pPr>
  </w:style>
  <w:style w:type="paragraph" w:styleId="BalloonText">
    <w:name w:val="Balloon Text"/>
    <w:basedOn w:val="Normal"/>
    <w:link w:val="BalloonTextChar"/>
    <w:uiPriority w:val="99"/>
    <w:semiHidden/>
    <w:unhideWhenUsed/>
    <w:rsid w:val="00276CE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CE3"/>
    <w:rPr>
      <w:rFonts w:ascii="Segoe UI" w:eastAsia="Calibri" w:hAnsi="Segoe UI" w:cs="Segoe UI"/>
      <w:color w:val="000000"/>
      <w:sz w:val="18"/>
      <w:szCs w:val="18"/>
    </w:rPr>
  </w:style>
  <w:style w:type="paragraph" w:styleId="Header">
    <w:name w:val="header"/>
    <w:basedOn w:val="Normal"/>
    <w:link w:val="HeaderChar"/>
    <w:uiPriority w:val="99"/>
    <w:unhideWhenUsed/>
    <w:rsid w:val="002D6E2A"/>
    <w:pPr>
      <w:tabs>
        <w:tab w:val="center" w:pos="4513"/>
        <w:tab w:val="right" w:pos="9026"/>
      </w:tabs>
      <w:spacing w:after="0"/>
    </w:pPr>
  </w:style>
  <w:style w:type="character" w:customStyle="1" w:styleId="HeaderChar">
    <w:name w:val="Header Char"/>
    <w:basedOn w:val="DefaultParagraphFont"/>
    <w:link w:val="Header"/>
    <w:uiPriority w:val="99"/>
    <w:rsid w:val="002D6E2A"/>
    <w:rPr>
      <w:rFonts w:ascii="Arial" w:eastAsia="Calibri" w:hAnsi="Arial" w:cs="Helvetica-Light"/>
      <w:color w:val="000000"/>
      <w:sz w:val="24"/>
      <w:szCs w:val="24"/>
    </w:rPr>
  </w:style>
  <w:style w:type="paragraph" w:styleId="Footer">
    <w:name w:val="footer"/>
    <w:basedOn w:val="Normal"/>
    <w:link w:val="FooterChar"/>
    <w:uiPriority w:val="99"/>
    <w:unhideWhenUsed/>
    <w:rsid w:val="002D6E2A"/>
    <w:pPr>
      <w:tabs>
        <w:tab w:val="center" w:pos="4513"/>
        <w:tab w:val="right" w:pos="9026"/>
      </w:tabs>
      <w:spacing w:after="0"/>
    </w:pPr>
  </w:style>
  <w:style w:type="character" w:customStyle="1" w:styleId="FooterChar">
    <w:name w:val="Footer Char"/>
    <w:basedOn w:val="DefaultParagraphFont"/>
    <w:link w:val="Footer"/>
    <w:uiPriority w:val="99"/>
    <w:rsid w:val="002D6E2A"/>
    <w:rPr>
      <w:rFonts w:ascii="Arial" w:eastAsia="Calibri" w:hAnsi="Arial" w:cs="Helvetica-Light"/>
      <w:color w:val="000000"/>
      <w:sz w:val="24"/>
      <w:szCs w:val="24"/>
    </w:rPr>
  </w:style>
  <w:style w:type="character" w:customStyle="1" w:styleId="NoSpacingChar">
    <w:name w:val="No Spacing Char"/>
    <w:link w:val="NoSpacing"/>
    <w:uiPriority w:val="1"/>
    <w:rsid w:val="001D0FE5"/>
    <w:rPr>
      <w:rFonts w:ascii="Calibri" w:eastAsia="Calibri" w:hAnsi="Calibri" w:cs="Times New Roman"/>
    </w:rPr>
  </w:style>
  <w:style w:type="character" w:styleId="CommentReference">
    <w:name w:val="annotation reference"/>
    <w:basedOn w:val="DefaultParagraphFont"/>
    <w:uiPriority w:val="99"/>
    <w:semiHidden/>
    <w:unhideWhenUsed/>
    <w:rsid w:val="00140DF8"/>
    <w:rPr>
      <w:sz w:val="16"/>
      <w:szCs w:val="16"/>
    </w:rPr>
  </w:style>
  <w:style w:type="paragraph" w:styleId="CommentText">
    <w:name w:val="annotation text"/>
    <w:basedOn w:val="Normal"/>
    <w:link w:val="CommentTextChar"/>
    <w:uiPriority w:val="99"/>
    <w:unhideWhenUsed/>
    <w:rsid w:val="00140DF8"/>
    <w:rPr>
      <w:sz w:val="20"/>
      <w:szCs w:val="20"/>
    </w:rPr>
  </w:style>
  <w:style w:type="character" w:customStyle="1" w:styleId="CommentTextChar">
    <w:name w:val="Comment Text Char"/>
    <w:basedOn w:val="DefaultParagraphFont"/>
    <w:link w:val="CommentText"/>
    <w:uiPriority w:val="99"/>
    <w:rsid w:val="00140DF8"/>
    <w:rPr>
      <w:rFonts w:ascii="Arial" w:eastAsia="Calibri" w:hAnsi="Arial" w:cs="Helvetica-Light"/>
      <w:color w:val="000000"/>
      <w:sz w:val="20"/>
      <w:szCs w:val="20"/>
    </w:rPr>
  </w:style>
  <w:style w:type="paragraph" w:styleId="CommentSubject">
    <w:name w:val="annotation subject"/>
    <w:basedOn w:val="CommentText"/>
    <w:next w:val="CommentText"/>
    <w:link w:val="CommentSubjectChar"/>
    <w:uiPriority w:val="99"/>
    <w:semiHidden/>
    <w:unhideWhenUsed/>
    <w:rsid w:val="00140DF8"/>
    <w:rPr>
      <w:b/>
      <w:bCs/>
    </w:rPr>
  </w:style>
  <w:style w:type="character" w:customStyle="1" w:styleId="CommentSubjectChar">
    <w:name w:val="Comment Subject Char"/>
    <w:basedOn w:val="CommentTextChar"/>
    <w:link w:val="CommentSubject"/>
    <w:uiPriority w:val="99"/>
    <w:semiHidden/>
    <w:rsid w:val="00140DF8"/>
    <w:rPr>
      <w:rFonts w:ascii="Arial" w:eastAsia="Calibri" w:hAnsi="Arial" w:cs="Helvetica-Light"/>
      <w:b/>
      <w:bCs/>
      <w:color w:val="000000"/>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E54C5B4747D346B163AB215D02C3D0" ma:contentTypeVersion="4" ma:contentTypeDescription="Create a new document." ma:contentTypeScope="" ma:versionID="a10eb7bba7b80af4a91fa95c594a73c2">
  <xsd:schema xmlns:xsd="http://www.w3.org/2001/XMLSchema" xmlns:xs="http://www.w3.org/2001/XMLSchema" xmlns:p="http://schemas.microsoft.com/office/2006/metadata/properties" xmlns:ns2="751f2a81-ccb8-4951-85d4-6a94b9f6e8fa" targetNamespace="http://schemas.microsoft.com/office/2006/metadata/properties" ma:root="true" ma:fieldsID="0908a4ca2e21b06d32a80f963f7acb11" ns2:_="">
    <xsd:import namespace="751f2a81-ccb8-4951-85d4-6a94b9f6e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f2a81-ccb8-4951-85d4-6a94b9f6e8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D2F3C-B9A9-4D9D-93AE-8A7E59B5EA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A59431-1E5E-415C-A588-65872ECFB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f2a81-ccb8-4951-85d4-6a94b9f6e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75B7F6-10C1-46E5-B502-B65C3A71BE0D}">
  <ds:schemaRefs>
    <ds:schemaRef ds:uri="http://schemas.microsoft.com/sharepoint/v3/contenttype/forms"/>
  </ds:schemaRefs>
</ds:datastoreItem>
</file>

<file path=customXml/itemProps4.xml><?xml version="1.0" encoding="utf-8"?>
<ds:datastoreItem xmlns:ds="http://schemas.openxmlformats.org/officeDocument/2006/customXml" ds:itemID="{B625E38E-CB72-4D35-B0F8-5533D6ABD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5180</Words>
  <Characters>29527</Characters>
  <Application>Microsoft Office Word</Application>
  <DocSecurity>0</DocSecurity>
  <Lines>246</Lines>
  <Paragraphs>69</Paragraphs>
  <ScaleCrop>false</ScaleCrop>
  <Company>Lancashire County Council</Company>
  <LinksUpToDate>false</LinksUpToDate>
  <CharactersWithSpaces>34638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Ayers, Christian</dc:creator>
  <cp:lastModifiedBy>Mansfield, Joanne</cp:lastModifiedBy>
  <cp:revision>3</cp:revision>
  <cp:lastPrinted>2020-02-07T11:21:00Z</cp:lastPrinted>
  <dcterms:created xsi:type="dcterms:W3CDTF">2021-08-25T15:12:00Z</dcterms:created>
  <dcterms:modified xsi:type="dcterms:W3CDTF">2021-08-27T09:11:00Z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0x010100C7E54C5B4747D346B163AB215D02C3D0</vt:lpwstr>
  </property>
</Properties>
</file>